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D1" w:rsidRPr="003835D1" w:rsidRDefault="003835D1" w:rsidP="003835D1">
      <w:pPr>
        <w:spacing w:before="0" w:after="0" w:line="240" w:lineRule="auto"/>
        <w:ind w:firstLine="0"/>
        <w:rPr>
          <w:rFonts w:ascii="Arial" w:eastAsia="Times New Roman" w:hAnsi="Arial" w:cs="Arial"/>
          <w:sz w:val="24"/>
          <w:szCs w:val="24"/>
        </w:rPr>
      </w:pPr>
      <w:r w:rsidRPr="003835D1">
        <w:rPr>
          <w:rFonts w:ascii="Arial" w:eastAsia="Times New Roman" w:hAnsi="Arial" w:cs="Arial"/>
          <w:sz w:val="24"/>
          <w:szCs w:val="24"/>
        </w:rPr>
        <w:t>Số hiệu: </w:t>
      </w:r>
      <w:r w:rsidRPr="003835D1">
        <w:rPr>
          <w:rFonts w:ascii="Arial" w:eastAsia="Times New Roman" w:hAnsi="Arial" w:cs="Arial"/>
          <w:b/>
          <w:bCs/>
          <w:sz w:val="24"/>
          <w:szCs w:val="24"/>
        </w:rPr>
        <w:t>2072/QĐ-TTg</w:t>
      </w:r>
    </w:p>
    <w:p w:rsidR="003835D1" w:rsidRPr="003835D1" w:rsidRDefault="003835D1" w:rsidP="003835D1">
      <w:pPr>
        <w:spacing w:before="0" w:after="0" w:line="240" w:lineRule="auto"/>
        <w:ind w:firstLine="0"/>
        <w:rPr>
          <w:rFonts w:ascii="Arial" w:eastAsia="Times New Roman" w:hAnsi="Arial" w:cs="Arial"/>
          <w:sz w:val="24"/>
          <w:szCs w:val="24"/>
        </w:rPr>
      </w:pPr>
      <w:r w:rsidRPr="003835D1">
        <w:rPr>
          <w:rFonts w:ascii="Arial" w:eastAsia="Times New Roman" w:hAnsi="Arial" w:cs="Arial"/>
          <w:sz w:val="24"/>
          <w:szCs w:val="24"/>
        </w:rPr>
        <w:t>Loại văn bản: </w:t>
      </w:r>
      <w:r w:rsidRPr="003835D1">
        <w:rPr>
          <w:rFonts w:ascii="Arial" w:eastAsia="Times New Roman" w:hAnsi="Arial" w:cs="Arial"/>
          <w:b/>
          <w:bCs/>
          <w:sz w:val="24"/>
          <w:szCs w:val="24"/>
        </w:rPr>
        <w:t>Quyết định</w:t>
      </w:r>
    </w:p>
    <w:p w:rsidR="003835D1" w:rsidRPr="003835D1" w:rsidRDefault="003835D1" w:rsidP="003835D1">
      <w:pPr>
        <w:spacing w:before="0" w:after="0" w:line="240" w:lineRule="auto"/>
        <w:ind w:firstLine="0"/>
        <w:rPr>
          <w:rFonts w:ascii="Arial" w:eastAsia="Times New Roman" w:hAnsi="Arial" w:cs="Arial"/>
          <w:sz w:val="24"/>
          <w:szCs w:val="24"/>
        </w:rPr>
      </w:pPr>
      <w:r w:rsidRPr="003835D1">
        <w:rPr>
          <w:rFonts w:ascii="Arial" w:eastAsia="Times New Roman" w:hAnsi="Arial" w:cs="Arial"/>
          <w:sz w:val="24"/>
          <w:szCs w:val="24"/>
        </w:rPr>
        <w:t>Nơi ban hành: </w:t>
      </w:r>
      <w:r w:rsidRPr="003835D1">
        <w:rPr>
          <w:rFonts w:ascii="Arial" w:eastAsia="Times New Roman" w:hAnsi="Arial" w:cs="Arial"/>
          <w:b/>
          <w:bCs/>
          <w:sz w:val="24"/>
          <w:szCs w:val="24"/>
        </w:rPr>
        <w:t>Thủ tướng Chính phủ</w:t>
      </w:r>
    </w:p>
    <w:p w:rsidR="003835D1" w:rsidRPr="003835D1" w:rsidRDefault="003835D1" w:rsidP="003835D1">
      <w:pPr>
        <w:spacing w:before="0" w:after="0" w:line="240" w:lineRule="auto"/>
        <w:ind w:firstLine="0"/>
        <w:rPr>
          <w:rFonts w:ascii="Arial" w:eastAsia="Times New Roman" w:hAnsi="Arial" w:cs="Arial"/>
          <w:sz w:val="24"/>
          <w:szCs w:val="24"/>
        </w:rPr>
      </w:pPr>
      <w:r w:rsidRPr="003835D1">
        <w:rPr>
          <w:rFonts w:ascii="Arial" w:eastAsia="Times New Roman" w:hAnsi="Arial" w:cs="Arial"/>
          <w:sz w:val="24"/>
          <w:szCs w:val="24"/>
        </w:rPr>
        <w:t>Người ký: </w:t>
      </w:r>
      <w:r w:rsidRPr="003835D1">
        <w:rPr>
          <w:rFonts w:ascii="Arial" w:eastAsia="Times New Roman" w:hAnsi="Arial" w:cs="Arial"/>
          <w:b/>
          <w:bCs/>
          <w:sz w:val="24"/>
          <w:szCs w:val="24"/>
        </w:rPr>
        <w:t>Trịnh Đình Dũng</w:t>
      </w:r>
    </w:p>
    <w:p w:rsidR="003835D1" w:rsidRPr="003835D1" w:rsidRDefault="003835D1" w:rsidP="003835D1">
      <w:pPr>
        <w:spacing w:before="0" w:after="0" w:line="240" w:lineRule="auto"/>
        <w:ind w:firstLine="0"/>
        <w:rPr>
          <w:rFonts w:ascii="Arial" w:eastAsia="Times New Roman" w:hAnsi="Arial" w:cs="Arial"/>
          <w:sz w:val="24"/>
          <w:szCs w:val="24"/>
        </w:rPr>
      </w:pPr>
      <w:r w:rsidRPr="003835D1">
        <w:rPr>
          <w:rFonts w:ascii="Arial" w:eastAsia="Times New Roman" w:hAnsi="Arial" w:cs="Arial"/>
          <w:sz w:val="24"/>
          <w:szCs w:val="24"/>
        </w:rPr>
        <w:t>Ngày ban hành: </w:t>
      </w:r>
      <w:r w:rsidRPr="003835D1">
        <w:rPr>
          <w:rFonts w:ascii="Arial" w:eastAsia="Times New Roman" w:hAnsi="Arial" w:cs="Arial"/>
          <w:b/>
          <w:bCs/>
          <w:sz w:val="24"/>
          <w:szCs w:val="24"/>
        </w:rPr>
        <w:t>22/12/2017</w:t>
      </w:r>
    </w:p>
    <w:p w:rsidR="003835D1" w:rsidRPr="003835D1" w:rsidRDefault="003835D1" w:rsidP="003835D1">
      <w:pPr>
        <w:spacing w:before="0" w:line="240" w:lineRule="auto"/>
        <w:ind w:firstLine="0"/>
        <w:rPr>
          <w:rFonts w:ascii="Arial" w:eastAsia="Times New Roman" w:hAnsi="Arial" w:cs="Arial"/>
          <w:sz w:val="24"/>
          <w:szCs w:val="24"/>
        </w:rPr>
      </w:pPr>
      <w:r w:rsidRPr="003835D1">
        <w:rPr>
          <w:rFonts w:ascii="Arial" w:eastAsia="Times New Roman" w:hAnsi="Arial" w:cs="Arial"/>
          <w:sz w:val="24"/>
          <w:szCs w:val="24"/>
        </w:rPr>
        <w:t>Tình trạng: </w:t>
      </w:r>
      <w:r w:rsidRPr="003835D1">
        <w:rPr>
          <w:rFonts w:ascii="Arial" w:eastAsia="Times New Roman" w:hAnsi="Arial" w:cs="Arial"/>
          <w:b/>
          <w:bCs/>
          <w:sz w:val="24"/>
          <w:szCs w:val="24"/>
        </w:rPr>
        <w:t>Đã biết</w:t>
      </w:r>
    </w:p>
    <w:p w:rsidR="003835D1" w:rsidRPr="003835D1" w:rsidRDefault="003835D1" w:rsidP="003835D1">
      <w:pPr>
        <w:spacing w:before="0" w:after="360" w:line="240" w:lineRule="auto"/>
        <w:ind w:firstLine="0"/>
        <w:jc w:val="both"/>
        <w:rPr>
          <w:rFonts w:ascii="Arial" w:eastAsia="Times New Roman" w:hAnsi="Arial" w:cs="Arial"/>
          <w:color w:val="000000"/>
          <w:sz w:val="27"/>
          <w:szCs w:val="27"/>
        </w:rPr>
      </w:pPr>
      <w:r w:rsidRPr="003835D1">
        <w:rPr>
          <w:rFonts w:ascii="Arial" w:eastAsia="Times New Roman" w:hAnsi="Arial" w:cs="Arial"/>
          <w:b/>
          <w:bCs/>
          <w:color w:val="000000"/>
          <w:sz w:val="21"/>
          <w:szCs w:val="21"/>
        </w:rPr>
        <w:t>Nội dung chi tiết, file tải về (download) và hướng dẫn tra cứu chi tiết văn bản: Quyết định 2072/QĐ-TTg năm 2017 về phê duyệt điều chỉnh Quy hoạch tổng thể phát triển hệ thống cảng cạn Việt Nam giai đoạn đến năm 2020, định hướng đến năm 2030 do Thủ tướng Chính phủ ban hành</w:t>
      </w:r>
    </w:p>
    <w:tbl>
      <w:tblPr>
        <w:tblW w:w="11550" w:type="dxa"/>
        <w:tblCellMar>
          <w:left w:w="0" w:type="dxa"/>
          <w:right w:w="0" w:type="dxa"/>
        </w:tblCellMar>
        <w:tblLook w:val="04A0" w:firstRow="1" w:lastRow="0" w:firstColumn="1" w:lastColumn="0" w:noHBand="0" w:noVBand="1"/>
      </w:tblPr>
      <w:tblGrid>
        <w:gridCol w:w="4366"/>
        <w:gridCol w:w="7184"/>
      </w:tblGrid>
      <w:tr w:rsidR="003835D1" w:rsidRPr="003835D1" w:rsidTr="003835D1">
        <w:tc>
          <w:tcPr>
            <w:tcW w:w="3348" w:type="dxa"/>
            <w:tcBorders>
              <w:top w:val="nil"/>
              <w:left w:val="nil"/>
              <w:bottom w:val="nil"/>
              <w:right w:val="nil"/>
            </w:tcBorders>
            <w:tcMar>
              <w:top w:w="0" w:type="dxa"/>
              <w:left w:w="108" w:type="dxa"/>
              <w:bottom w:w="0" w:type="dxa"/>
              <w:right w:w="108" w:type="dxa"/>
            </w:tcMa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THỦ TƯỚNG CHÍNH PHỦ</w:t>
            </w:r>
            <w:r w:rsidRPr="003835D1">
              <w:rPr>
                <w:rFonts w:ascii="Arial" w:eastAsia="Times New Roman" w:hAnsi="Arial" w:cs="Arial"/>
                <w:b/>
                <w:bCs/>
                <w:sz w:val="24"/>
                <w:szCs w:val="24"/>
                <w:lang w:val="vi-VN"/>
              </w:rPr>
              <w:br/>
              <w:t>——-</w:t>
            </w:r>
          </w:p>
        </w:tc>
        <w:tc>
          <w:tcPr>
            <w:tcW w:w="5508" w:type="dxa"/>
            <w:tcBorders>
              <w:top w:val="nil"/>
              <w:left w:val="nil"/>
              <w:bottom w:val="nil"/>
              <w:right w:val="nil"/>
            </w:tcBorders>
            <w:tcMar>
              <w:top w:w="0" w:type="dxa"/>
              <w:left w:w="108" w:type="dxa"/>
              <w:bottom w:w="0" w:type="dxa"/>
              <w:right w:w="108" w:type="dxa"/>
            </w:tcMa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CỘNG HÒA XÃ HỘI CHỦ NGHĨA VIỆT NAM</w:t>
            </w:r>
            <w:r w:rsidRPr="003835D1">
              <w:rPr>
                <w:rFonts w:ascii="Arial" w:eastAsia="Times New Roman" w:hAnsi="Arial" w:cs="Arial"/>
                <w:b/>
                <w:bCs/>
                <w:sz w:val="24"/>
                <w:szCs w:val="24"/>
                <w:lang w:val="vi-VN"/>
              </w:rPr>
              <w:br/>
              <w:t>Độc lập – Tự do – Hạnh phúc</w:t>
            </w:r>
            <w:r w:rsidRPr="003835D1">
              <w:rPr>
                <w:rFonts w:ascii="Arial" w:eastAsia="Times New Roman" w:hAnsi="Arial" w:cs="Arial"/>
                <w:b/>
                <w:bCs/>
                <w:sz w:val="24"/>
                <w:szCs w:val="24"/>
                <w:lang w:val="vi-VN"/>
              </w:rPr>
              <w:br/>
              <w:t>—————</w:t>
            </w:r>
          </w:p>
        </w:tc>
      </w:tr>
      <w:tr w:rsidR="003835D1" w:rsidRPr="003835D1" w:rsidTr="003835D1">
        <w:tc>
          <w:tcPr>
            <w:tcW w:w="3348" w:type="dxa"/>
            <w:tcBorders>
              <w:top w:val="nil"/>
              <w:left w:val="nil"/>
              <w:bottom w:val="nil"/>
              <w:right w:val="nil"/>
            </w:tcBorders>
            <w:tcMar>
              <w:top w:w="0" w:type="dxa"/>
              <w:left w:w="108" w:type="dxa"/>
              <w:bottom w:w="0" w:type="dxa"/>
              <w:right w:w="108" w:type="dxa"/>
            </w:tcMa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Số: </w:t>
            </w:r>
            <w:r w:rsidRPr="003835D1">
              <w:rPr>
                <w:rFonts w:ascii="Arial" w:eastAsia="Times New Roman" w:hAnsi="Arial" w:cs="Arial"/>
                <w:sz w:val="24"/>
                <w:szCs w:val="24"/>
              </w:rPr>
              <w:t>2072/QĐ-TTg</w:t>
            </w:r>
          </w:p>
        </w:tc>
        <w:tc>
          <w:tcPr>
            <w:tcW w:w="5508" w:type="dxa"/>
            <w:tcBorders>
              <w:top w:val="nil"/>
              <w:left w:val="nil"/>
              <w:bottom w:val="nil"/>
              <w:right w:val="nil"/>
            </w:tcBorders>
            <w:tcMar>
              <w:top w:w="0" w:type="dxa"/>
              <w:left w:w="108" w:type="dxa"/>
              <w:bottom w:w="0" w:type="dxa"/>
              <w:right w:w="108" w:type="dxa"/>
            </w:tcMa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i/>
                <w:iCs/>
                <w:sz w:val="24"/>
                <w:szCs w:val="24"/>
                <w:lang w:val="vi-VN"/>
              </w:rPr>
              <w:t>Hà Nội, ngày </w:t>
            </w:r>
            <w:r w:rsidRPr="003835D1">
              <w:rPr>
                <w:rFonts w:ascii="Arial" w:eastAsia="Times New Roman" w:hAnsi="Arial" w:cs="Arial"/>
                <w:i/>
                <w:iCs/>
                <w:sz w:val="24"/>
                <w:szCs w:val="24"/>
              </w:rPr>
              <w:t>22</w:t>
            </w:r>
            <w:r w:rsidRPr="003835D1">
              <w:rPr>
                <w:rFonts w:ascii="Arial" w:eastAsia="Times New Roman" w:hAnsi="Arial" w:cs="Arial"/>
                <w:i/>
                <w:iCs/>
                <w:sz w:val="24"/>
                <w:szCs w:val="24"/>
                <w:lang w:val="vi-VN"/>
              </w:rPr>
              <w:t> tháng </w:t>
            </w:r>
            <w:r w:rsidRPr="003835D1">
              <w:rPr>
                <w:rFonts w:ascii="Arial" w:eastAsia="Times New Roman" w:hAnsi="Arial" w:cs="Arial"/>
                <w:i/>
                <w:iCs/>
                <w:sz w:val="24"/>
                <w:szCs w:val="24"/>
              </w:rPr>
              <w:t>12 </w:t>
            </w:r>
            <w:r w:rsidRPr="003835D1">
              <w:rPr>
                <w:rFonts w:ascii="Arial" w:eastAsia="Times New Roman" w:hAnsi="Arial" w:cs="Arial"/>
                <w:i/>
                <w:iCs/>
                <w:sz w:val="24"/>
                <w:szCs w:val="24"/>
                <w:lang w:val="vi-VN"/>
              </w:rPr>
              <w:t>năm 201</w:t>
            </w:r>
            <w:r w:rsidRPr="003835D1">
              <w:rPr>
                <w:rFonts w:ascii="Arial" w:eastAsia="Times New Roman" w:hAnsi="Arial" w:cs="Arial"/>
                <w:i/>
                <w:iCs/>
                <w:sz w:val="24"/>
                <w:szCs w:val="24"/>
              </w:rPr>
              <w:t>7</w:t>
            </w:r>
          </w:p>
        </w:tc>
      </w:tr>
    </w:tbl>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rPr>
        <w:t> </w:t>
      </w:r>
    </w:p>
    <w:p w:rsidR="003835D1" w:rsidRPr="003835D1" w:rsidRDefault="003835D1" w:rsidP="003835D1">
      <w:pPr>
        <w:spacing w:after="360"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4"/>
          <w:szCs w:val="24"/>
          <w:lang w:val="vi-VN"/>
        </w:rPr>
        <w:t>QUYẾT ĐỊNH</w:t>
      </w:r>
    </w:p>
    <w:p w:rsidR="003835D1" w:rsidRPr="003835D1" w:rsidRDefault="003835D1" w:rsidP="003835D1">
      <w:pPr>
        <w:spacing w:after="360" w:line="240" w:lineRule="auto"/>
        <w:ind w:firstLine="0"/>
        <w:jc w:val="center"/>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xml:space="preserve">PHÊ DUYỆT ĐIỀU CHỈNH QUY HOẠCH TỔNG THỂ PHÁT TRIỂN HỆ </w:t>
      </w:r>
      <w:bookmarkStart w:id="0" w:name="_GoBack"/>
      <w:bookmarkEnd w:id="0"/>
      <w:r w:rsidRPr="003835D1">
        <w:rPr>
          <w:rFonts w:ascii="Arial" w:eastAsia="Times New Roman" w:hAnsi="Arial" w:cs="Arial"/>
          <w:color w:val="000000"/>
          <w:sz w:val="27"/>
          <w:szCs w:val="27"/>
          <w:lang w:val="vi-VN"/>
        </w:rPr>
        <w:t>THỐNG CẢNG CẠN VIỆT NAM GIAI ĐOẠN ĐẾN NĂM 2020, ĐỊNH HƯỚNG ĐẾN NĂM 2030</w:t>
      </w:r>
    </w:p>
    <w:p w:rsidR="003835D1" w:rsidRPr="003835D1" w:rsidRDefault="003835D1" w:rsidP="003835D1">
      <w:pPr>
        <w:spacing w:after="360"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4"/>
          <w:szCs w:val="24"/>
          <w:lang w:val="vi-VN"/>
        </w:rPr>
        <w:t>THỦ TƯỚNG CHÍNH PHỦ</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i/>
          <w:iCs/>
          <w:color w:val="000000"/>
          <w:sz w:val="27"/>
          <w:szCs w:val="27"/>
          <w:lang w:val="vi-VN"/>
        </w:rPr>
        <w:t>Căn cứ Luật Tổ chức Chính phủ ngày 19 tháng 6 năm 2015;</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i/>
          <w:iCs/>
          <w:color w:val="000000"/>
          <w:sz w:val="27"/>
          <w:szCs w:val="27"/>
          <w:lang w:val="vi-VN"/>
        </w:rPr>
        <w:t>Căn cứ Bộ luật Hàng hải Việt Nam ngày 25 tháng 11 năm 2015;</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i/>
          <w:iCs/>
          <w:color w:val="000000"/>
          <w:sz w:val="27"/>
          <w:szCs w:val="27"/>
          <w:lang w:val="vi-VN"/>
        </w:rPr>
        <w:t>Căn cứ Nghị định số 92/200</w:t>
      </w:r>
      <w:r w:rsidRPr="003835D1">
        <w:rPr>
          <w:rFonts w:ascii="Arial" w:eastAsia="Times New Roman" w:hAnsi="Arial" w:cs="Arial"/>
          <w:i/>
          <w:iCs/>
          <w:color w:val="000000"/>
          <w:sz w:val="27"/>
          <w:szCs w:val="27"/>
        </w:rPr>
        <w:t>6</w:t>
      </w:r>
      <w:r w:rsidRPr="003835D1">
        <w:rPr>
          <w:rFonts w:ascii="Arial" w:eastAsia="Times New Roman" w:hAnsi="Arial" w:cs="Arial"/>
          <w:i/>
          <w:iCs/>
          <w:color w:val="000000"/>
          <w:sz w:val="27"/>
          <w:szCs w:val="27"/>
          <w:lang w:val="vi-VN"/>
        </w:rPr>
        <w:t>/NĐ-CP ngày 07 tháng 9 năm 2006 của Chính phủ về lập, phê duyệt và quản lý quy hoạch tổng thể phát triển kinh tế – xã hội; Nghị định số 04/2008/NĐ-CP ngày 11 tháng 01 năm 2008 của Chính phủ về sửa đổi, bổ sung một số điều của Nghị định số 92/2006/NĐ-CP ngày 07 tháng 9 năm 2006 của Chính phủ;</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i/>
          <w:iCs/>
          <w:color w:val="000000"/>
          <w:sz w:val="27"/>
          <w:szCs w:val="27"/>
          <w:lang w:val="vi-VN"/>
        </w:rPr>
        <w:t>Căn cứ Nghị định số 38/2017/NĐ-CP ngày 04 tháng 4 năm 2017 của Chính phủ về đầu tư xây dựng, quản lý khai thác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i/>
          <w:iCs/>
          <w:color w:val="000000"/>
          <w:sz w:val="27"/>
          <w:szCs w:val="27"/>
          <w:lang w:val="vi-VN"/>
        </w:rPr>
        <w:t>Xét đề nghị của Bộ Giao thông vận tải,</w:t>
      </w:r>
    </w:p>
    <w:p w:rsidR="003835D1" w:rsidRPr="003835D1" w:rsidRDefault="003835D1" w:rsidP="003835D1">
      <w:pPr>
        <w:spacing w:after="360"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4"/>
          <w:szCs w:val="24"/>
          <w:lang w:val="vi-VN"/>
        </w:rPr>
        <w:lastRenderedPageBreak/>
        <w:t>QUYẾT ĐỊNH: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Điều 1.</w:t>
      </w:r>
      <w:r w:rsidRPr="003835D1">
        <w:rPr>
          <w:rFonts w:ascii="Arial" w:eastAsia="Times New Roman" w:hAnsi="Arial" w:cs="Arial"/>
          <w:color w:val="000000"/>
          <w:sz w:val="27"/>
          <w:szCs w:val="27"/>
          <w:lang w:val="vi-VN"/>
        </w:rPr>
        <w:t> Phê duyệt Điều chỉnh Quy hoạch tổng thể phát triển hệ thống cảng cạn Việt Nam giai đoạn đến năm 2020, định hướng đến năm 2030 với những nội dung chủ yếu sau:</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1. Quan điểm phát triển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a) Cảng cạn là một bộ phận thuộc kết cấu hạ tầng giao thông vận tải gắn liền với hoạt động của cảng biển và hệ thống kết cấu hạ tầng khác; việc phát triển cảng cạn phải phù hợp với quy hoạch phát triển hệ thống cảng biển, các quy hoạch phát triển mạng lưới giao thông; đáp ứng nhu cầu phát triển kinh tế, xã hội của các vùng và địa phương;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 Phát triển hệ thống cảng cạn để đáp ứng nhu cầu tối ưu hóa vận tải hàng hóa xuất, nhập khẩu của từng khu vực và các hành lang kinh tế, đặc biệt là hợp lý hóa tổ chức vận tải đối với hãng công – ten – nơ, tạo thuận lợi cho doanh nghiệp trong việc nâng cao chất lượng, giảm chi phí dịch vụ vận tải và logistics;</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c) Ưu tiên hình thành và phát triển các cảng cạn có khả năng kết nối các phương thức vận tải đường thủy nội địa, vận tải đường sắt nhằm phát triển vận tải đa phương thức, góp phần thực hiện tái cơ cấu vận tải theo hướng </w:t>
      </w:r>
      <w:r w:rsidRPr="003835D1">
        <w:rPr>
          <w:rFonts w:ascii="Arial" w:eastAsia="Times New Roman" w:hAnsi="Arial" w:cs="Arial"/>
          <w:color w:val="000000"/>
          <w:sz w:val="27"/>
          <w:szCs w:val="27"/>
        </w:rPr>
        <w:t>hợ</w:t>
      </w:r>
      <w:r w:rsidRPr="003835D1">
        <w:rPr>
          <w:rFonts w:ascii="Arial" w:eastAsia="Times New Roman" w:hAnsi="Arial" w:cs="Arial"/>
          <w:color w:val="000000"/>
          <w:sz w:val="27"/>
          <w:szCs w:val="27"/>
          <w:lang w:val="vi-VN"/>
        </w:rPr>
        <w:t>p l</w:t>
      </w:r>
      <w:r w:rsidRPr="003835D1">
        <w:rPr>
          <w:rFonts w:ascii="Arial" w:eastAsia="Times New Roman" w:hAnsi="Arial" w:cs="Arial"/>
          <w:color w:val="000000"/>
          <w:sz w:val="27"/>
          <w:szCs w:val="27"/>
        </w:rPr>
        <w:t>ý</w:t>
      </w:r>
      <w:r w:rsidRPr="003835D1">
        <w:rPr>
          <w:rFonts w:ascii="Arial" w:eastAsia="Times New Roman" w:hAnsi="Arial" w:cs="Arial"/>
          <w:color w:val="000000"/>
          <w:sz w:val="27"/>
          <w:szCs w:val="27"/>
          <w:lang w:val="vi-VN"/>
        </w:rPr>
        <w:t> h</w:t>
      </w:r>
      <w:r w:rsidRPr="003835D1">
        <w:rPr>
          <w:rFonts w:ascii="Arial" w:eastAsia="Times New Roman" w:hAnsi="Arial" w:cs="Arial"/>
          <w:color w:val="000000"/>
          <w:sz w:val="27"/>
          <w:szCs w:val="27"/>
        </w:rPr>
        <w:t>ó</w:t>
      </w:r>
      <w:r w:rsidRPr="003835D1">
        <w:rPr>
          <w:rFonts w:ascii="Arial" w:eastAsia="Times New Roman" w:hAnsi="Arial" w:cs="Arial"/>
          <w:color w:val="000000"/>
          <w:sz w:val="27"/>
          <w:szCs w:val="27"/>
          <w:lang w:val="vi-VN"/>
        </w:rPr>
        <w:t>a, gi</w:t>
      </w:r>
      <w:r w:rsidRPr="003835D1">
        <w:rPr>
          <w:rFonts w:ascii="Arial" w:eastAsia="Times New Roman" w:hAnsi="Arial" w:cs="Arial"/>
          <w:color w:val="000000"/>
          <w:sz w:val="27"/>
          <w:szCs w:val="27"/>
        </w:rPr>
        <w:t>ả</w:t>
      </w:r>
      <w:r w:rsidRPr="003835D1">
        <w:rPr>
          <w:rFonts w:ascii="Arial" w:eastAsia="Times New Roman" w:hAnsi="Arial" w:cs="Arial"/>
          <w:color w:val="000000"/>
          <w:sz w:val="27"/>
          <w:szCs w:val="27"/>
          <w:lang w:val="vi-VN"/>
        </w:rPr>
        <w:t>m thời gian, chi phí vận tải;</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d) Phát triển hài hòa hệ thống cảng cạn vừa đáp ứng nhu cầu hỗ trợ trực tiếp tại chỗ đối với hệ thống cản</w:t>
      </w:r>
      <w:r w:rsidRPr="003835D1">
        <w:rPr>
          <w:rFonts w:ascii="Arial" w:eastAsia="Times New Roman" w:hAnsi="Arial" w:cs="Arial"/>
          <w:color w:val="000000"/>
          <w:sz w:val="27"/>
          <w:szCs w:val="27"/>
        </w:rPr>
        <w:t>g </w:t>
      </w:r>
      <w:r w:rsidRPr="003835D1">
        <w:rPr>
          <w:rFonts w:ascii="Arial" w:eastAsia="Times New Roman" w:hAnsi="Arial" w:cs="Arial"/>
          <w:color w:val="000000"/>
          <w:sz w:val="27"/>
          <w:szCs w:val="27"/>
          <w:lang w:val="vi-VN"/>
        </w:rPr>
        <w:t>biển, vừa đáp ứng nhu cầu kết nối vận tải đa phương thức, tổ chức giao thông tại các khu vực hậu phương xa cảng biển;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đ) Khuyến khích huy động nguồn lực xã hội hóa để đầu tư phát triển cảng cạn theo quy hoạch;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e) Phát triển cảng cạn theo hướng bền vững, kết hợp chặt chẽ với bảo đảm quốc phòng, an ninh, tiết kiệm đất đai canh tác, bảo vệ môi trường.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2. Mục tiêu phát triển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a) Mục tiêu tổng quát:</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Từng bước hình thành và phát triển hệ thống cảng cạn nhằm đáp ứng nhu cầu vận chuyển hàng hóa xuất, nhập khẩu, tăng năng lực thông qua hàng hóa của các cảng biển; tổ chức vận chuyển công – ten – nơ một cách hợp lý nhằm giảm chi phí vận chuyển và thời gian lưu hàng tại cảng biển, đảm bảo an toàn hàng hóa; góp phần giảm ùn tắc giao thông, đặc biệt ở các đô thị l</w:t>
      </w:r>
      <w:r w:rsidRPr="003835D1">
        <w:rPr>
          <w:rFonts w:ascii="Arial" w:eastAsia="Times New Roman" w:hAnsi="Arial" w:cs="Arial"/>
          <w:color w:val="000000"/>
          <w:sz w:val="27"/>
          <w:szCs w:val="27"/>
        </w:rPr>
        <w:t>ớ</w:t>
      </w:r>
      <w:r w:rsidRPr="003835D1">
        <w:rPr>
          <w:rFonts w:ascii="Arial" w:eastAsia="Times New Roman" w:hAnsi="Arial" w:cs="Arial"/>
          <w:color w:val="000000"/>
          <w:sz w:val="27"/>
          <w:szCs w:val="27"/>
          <w:lang w:val="vi-VN"/>
        </w:rPr>
        <w:t>n và khu vực có c</w:t>
      </w:r>
      <w:r w:rsidRPr="003835D1">
        <w:rPr>
          <w:rFonts w:ascii="Arial" w:eastAsia="Times New Roman" w:hAnsi="Arial" w:cs="Arial"/>
          <w:color w:val="000000"/>
          <w:sz w:val="27"/>
          <w:szCs w:val="27"/>
        </w:rPr>
        <w:t>ả</w:t>
      </w:r>
      <w:r w:rsidRPr="003835D1">
        <w:rPr>
          <w:rFonts w:ascii="Arial" w:eastAsia="Times New Roman" w:hAnsi="Arial" w:cs="Arial"/>
          <w:color w:val="000000"/>
          <w:sz w:val="27"/>
          <w:szCs w:val="27"/>
          <w:lang w:val="vi-VN"/>
        </w:rPr>
        <w:t>ng biển lớn. Phát triển hệ thống cảng cạn trở thành các đầu mối tổ chức vận tải, trung chuyển, phân phối hàng hóa, kết hợp với cung cấp các dịch vụ logistics.</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 Mục tiêu cụ thể:</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Đ</w:t>
      </w:r>
      <w:r w:rsidRPr="003835D1">
        <w:rPr>
          <w:rFonts w:ascii="Arial" w:eastAsia="Times New Roman" w:hAnsi="Arial" w:cs="Arial"/>
          <w:color w:val="000000"/>
          <w:sz w:val="27"/>
          <w:szCs w:val="27"/>
        </w:rPr>
        <w:t>ế</w:t>
      </w:r>
      <w:r w:rsidRPr="003835D1">
        <w:rPr>
          <w:rFonts w:ascii="Arial" w:eastAsia="Times New Roman" w:hAnsi="Arial" w:cs="Arial"/>
          <w:color w:val="000000"/>
          <w:sz w:val="27"/>
          <w:szCs w:val="27"/>
          <w:lang w:val="vi-VN"/>
        </w:rPr>
        <w:t>n năm 2020, phát triển h</w:t>
      </w:r>
      <w:r w:rsidRPr="003835D1">
        <w:rPr>
          <w:rFonts w:ascii="Arial" w:eastAsia="Times New Roman" w:hAnsi="Arial" w:cs="Arial"/>
          <w:color w:val="000000"/>
          <w:sz w:val="27"/>
          <w:szCs w:val="27"/>
        </w:rPr>
        <w:t>ệ </w:t>
      </w:r>
      <w:r w:rsidRPr="003835D1">
        <w:rPr>
          <w:rFonts w:ascii="Arial" w:eastAsia="Times New Roman" w:hAnsi="Arial" w:cs="Arial"/>
          <w:color w:val="000000"/>
          <w:sz w:val="27"/>
          <w:szCs w:val="27"/>
          <w:lang w:val="vi-VN"/>
        </w:rPr>
        <w:t>thốn</w:t>
      </w:r>
      <w:r w:rsidRPr="003835D1">
        <w:rPr>
          <w:rFonts w:ascii="Arial" w:eastAsia="Times New Roman" w:hAnsi="Arial" w:cs="Arial"/>
          <w:color w:val="000000"/>
          <w:sz w:val="27"/>
          <w:szCs w:val="27"/>
        </w:rPr>
        <w:t>g </w:t>
      </w:r>
      <w:r w:rsidRPr="003835D1">
        <w:rPr>
          <w:rFonts w:ascii="Arial" w:eastAsia="Times New Roman" w:hAnsi="Arial" w:cs="Arial"/>
          <w:color w:val="000000"/>
          <w:sz w:val="27"/>
          <w:szCs w:val="27"/>
          <w:lang w:val="vi-VN"/>
        </w:rPr>
        <w:t>cảng c</w:t>
      </w:r>
      <w:r w:rsidRPr="003835D1">
        <w:rPr>
          <w:rFonts w:ascii="Arial" w:eastAsia="Times New Roman" w:hAnsi="Arial" w:cs="Arial"/>
          <w:color w:val="000000"/>
          <w:sz w:val="27"/>
          <w:szCs w:val="27"/>
        </w:rPr>
        <w:t>ạ</w:t>
      </w:r>
      <w:r w:rsidRPr="003835D1">
        <w:rPr>
          <w:rFonts w:ascii="Arial" w:eastAsia="Times New Roman" w:hAnsi="Arial" w:cs="Arial"/>
          <w:color w:val="000000"/>
          <w:sz w:val="27"/>
          <w:szCs w:val="27"/>
          <w:lang w:val="vi-VN"/>
        </w:rPr>
        <w:t>n c</w:t>
      </w:r>
      <w:r w:rsidRPr="003835D1">
        <w:rPr>
          <w:rFonts w:ascii="Arial" w:eastAsia="Times New Roman" w:hAnsi="Arial" w:cs="Arial"/>
          <w:color w:val="000000"/>
          <w:sz w:val="27"/>
          <w:szCs w:val="27"/>
        </w:rPr>
        <w:t>ó </w:t>
      </w:r>
      <w:r w:rsidRPr="003835D1">
        <w:rPr>
          <w:rFonts w:ascii="Arial" w:eastAsia="Times New Roman" w:hAnsi="Arial" w:cs="Arial"/>
          <w:color w:val="000000"/>
          <w:sz w:val="27"/>
          <w:szCs w:val="27"/>
          <w:lang w:val="vi-VN"/>
        </w:rPr>
        <w:t>khả năng thông qua tối thiểu khoảng 15% – 20% nhu cầu hàng hóa vận tải công – ten – nơ thông qua hệ thống cảng biển, n</w:t>
      </w:r>
      <w:r w:rsidRPr="003835D1">
        <w:rPr>
          <w:rFonts w:ascii="Arial" w:eastAsia="Times New Roman" w:hAnsi="Arial" w:cs="Arial"/>
          <w:color w:val="000000"/>
          <w:sz w:val="27"/>
          <w:szCs w:val="27"/>
        </w:rPr>
        <w:t>ă</w:t>
      </w:r>
      <w:r w:rsidRPr="003835D1">
        <w:rPr>
          <w:rFonts w:ascii="Arial" w:eastAsia="Times New Roman" w:hAnsi="Arial" w:cs="Arial"/>
          <w:color w:val="000000"/>
          <w:sz w:val="27"/>
          <w:szCs w:val="27"/>
          <w:lang w:val="vi-VN"/>
        </w:rPr>
        <w:t>ng lực thông qua 4.035.000 – 6.845.000 TEU/năm, trong đó miền Bắc đạt 720.000 – 1.810.000 TEU/năm, miền Trung đạt 65.000 – 175.000 TEU/năm, miền Nam đạt 3.250.000 – 4.860.000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Đ</w:t>
      </w:r>
      <w:r w:rsidRPr="003835D1">
        <w:rPr>
          <w:rFonts w:ascii="Arial" w:eastAsia="Times New Roman" w:hAnsi="Arial" w:cs="Arial"/>
          <w:color w:val="000000"/>
          <w:sz w:val="27"/>
          <w:szCs w:val="27"/>
        </w:rPr>
        <w:t>ế</w:t>
      </w:r>
      <w:r w:rsidRPr="003835D1">
        <w:rPr>
          <w:rFonts w:ascii="Arial" w:eastAsia="Times New Roman" w:hAnsi="Arial" w:cs="Arial"/>
          <w:color w:val="000000"/>
          <w:sz w:val="27"/>
          <w:szCs w:val="27"/>
          <w:lang w:val="vi-VN"/>
        </w:rPr>
        <w:t>n năm 2030, phát triển hệ thống cảng cạn có khả năng thông qua tối thi</w:t>
      </w:r>
      <w:r w:rsidRPr="003835D1">
        <w:rPr>
          <w:rFonts w:ascii="Arial" w:eastAsia="Times New Roman" w:hAnsi="Arial" w:cs="Arial"/>
          <w:color w:val="000000"/>
          <w:sz w:val="27"/>
          <w:szCs w:val="27"/>
        </w:rPr>
        <w:t>ể</w:t>
      </w:r>
      <w:r w:rsidRPr="003835D1">
        <w:rPr>
          <w:rFonts w:ascii="Arial" w:eastAsia="Times New Roman" w:hAnsi="Arial" w:cs="Arial"/>
          <w:color w:val="000000"/>
          <w:sz w:val="27"/>
          <w:szCs w:val="27"/>
          <w:lang w:val="vi-VN"/>
        </w:rPr>
        <w:t>u khoảng 25% – 30% nhu cầu hàng hóa vận tải công – ten – nơ thông qua hệ thống cảng biển, năng lực thông qua khoảng 12.000.000 – 17.600.000 TE</w:t>
      </w:r>
      <w:r w:rsidRPr="003835D1">
        <w:rPr>
          <w:rFonts w:ascii="Arial" w:eastAsia="Times New Roman" w:hAnsi="Arial" w:cs="Arial"/>
          <w:color w:val="000000"/>
          <w:sz w:val="27"/>
          <w:szCs w:val="27"/>
        </w:rPr>
        <w:t>U</w:t>
      </w:r>
      <w:r w:rsidRPr="003835D1">
        <w:rPr>
          <w:rFonts w:ascii="Arial" w:eastAsia="Times New Roman" w:hAnsi="Arial" w:cs="Arial"/>
          <w:color w:val="000000"/>
          <w:sz w:val="27"/>
          <w:szCs w:val="27"/>
          <w:lang w:val="vi-VN"/>
        </w:rPr>
        <w:t>/</w:t>
      </w:r>
      <w:r w:rsidRPr="003835D1">
        <w:rPr>
          <w:rFonts w:ascii="Arial" w:eastAsia="Times New Roman" w:hAnsi="Arial" w:cs="Arial"/>
          <w:color w:val="000000"/>
          <w:sz w:val="27"/>
          <w:szCs w:val="27"/>
        </w:rPr>
        <w:t>n</w:t>
      </w:r>
      <w:r w:rsidRPr="003835D1">
        <w:rPr>
          <w:rFonts w:ascii="Arial" w:eastAsia="Times New Roman" w:hAnsi="Arial" w:cs="Arial"/>
          <w:color w:val="000000"/>
          <w:sz w:val="27"/>
          <w:szCs w:val="27"/>
          <w:lang w:val="vi-VN"/>
        </w:rPr>
        <w:t>ăm, trong đó miền Bắc đạt khoảng 2.750.000 – 4.820.000 TEU/năm, miền Trung đạt khoảng 350.000 – 630.000 TEU/năm, miền Nam đạt khoảng 8.900.000 – 12.150.000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3. Nội dung quy hoạch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a) Khu vực miền Bắc: Quy hoạch phát triển cảng cạn tại các khu vực kinh tế, hành lang kinh tế, gồm: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kinh tế ven biển: Phát triển các cảng cạn chủ yếu phục vụ hàng hóa của các tỉnh/thành phố Hải Phòng, Quảng Ninh, Thái Bình, Nam Định, Hà Nam và Ninh Bình.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có khả năng kết n</w:t>
      </w:r>
      <w:r w:rsidRPr="003835D1">
        <w:rPr>
          <w:rFonts w:ascii="Arial" w:eastAsia="Times New Roman" w:hAnsi="Arial" w:cs="Arial"/>
          <w:color w:val="000000"/>
          <w:sz w:val="27"/>
          <w:szCs w:val="27"/>
        </w:rPr>
        <w:t>ố</w:t>
      </w:r>
      <w:r w:rsidRPr="003835D1">
        <w:rPr>
          <w:rFonts w:ascii="Arial" w:eastAsia="Times New Roman" w:hAnsi="Arial" w:cs="Arial"/>
          <w:color w:val="000000"/>
          <w:sz w:val="27"/>
          <w:szCs w:val="27"/>
          <w:lang w:val="vi-VN"/>
        </w:rPr>
        <w:t>i thuận lợi với vận tải thủy nội địa, vận tải sông pha biển, vận tải đường sắt với cảng biển Hải Phòng, Quảng Ninh; đến năm 2020 có tổng diện tích 50 – 70 ha, năng lực thông qua khoảng 80.000 – 200.000 TEU/năm; đến năm 2030 có tổng diện tích 80 – 100 ha, năng lực thông qua khoảng 500.000 – 850</w:t>
      </w:r>
      <w:r w:rsidRPr="003835D1">
        <w:rPr>
          <w:rFonts w:ascii="Arial" w:eastAsia="Times New Roman" w:hAnsi="Arial" w:cs="Arial"/>
          <w:color w:val="000000"/>
          <w:sz w:val="27"/>
          <w:szCs w:val="27"/>
        </w:rPr>
        <w:t>.</w:t>
      </w:r>
      <w:r w:rsidRPr="003835D1">
        <w:rPr>
          <w:rFonts w:ascii="Arial" w:eastAsia="Times New Roman" w:hAnsi="Arial" w:cs="Arial"/>
          <w:color w:val="000000"/>
          <w:sz w:val="27"/>
          <w:szCs w:val="27"/>
          <w:lang w:val="vi-VN"/>
        </w:rPr>
        <w:t>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 Hành lang kinh tế Hà Nội – Lào Cai: Phát triển các cảng cạn chủ yếu phục vụ hàng hóa của các tỉnh Lào Cai, Yên Bái, Phú Thọ, Vĩnh Phúc, Tuyên Quang và Hà Giang.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có thể kết nối thuận lợi với vận tải đường sắt, vận tải thủy nội địa đến các cảng biển Hải Phòng và Quảng Ninh; đến năm 2020 có tổng diện tích 30 – 40 ha, năng lực thông qua khoảng 120.000 – 300.000 TEU/năm; đến năm 2030 có tổng diện tích 60 – 70 ha, năng lực thông qua khoảng 500.000 – 830.000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Hành lang kinh tế Hà Nội – Lạng S</w:t>
      </w:r>
      <w:r w:rsidRPr="003835D1">
        <w:rPr>
          <w:rFonts w:ascii="Arial" w:eastAsia="Times New Roman" w:hAnsi="Arial" w:cs="Arial"/>
          <w:color w:val="000000"/>
          <w:sz w:val="27"/>
          <w:szCs w:val="27"/>
        </w:rPr>
        <w:t>ơ</w:t>
      </w:r>
      <w:r w:rsidRPr="003835D1">
        <w:rPr>
          <w:rFonts w:ascii="Arial" w:eastAsia="Times New Roman" w:hAnsi="Arial" w:cs="Arial"/>
          <w:color w:val="000000"/>
          <w:sz w:val="27"/>
          <w:szCs w:val="27"/>
          <w:lang w:val="vi-VN"/>
        </w:rPr>
        <w:t>n: Phát triển các cảng cạn chủ yếu phục vụ hàng hóa của các tỉnh Lạng S</w:t>
      </w:r>
      <w:r w:rsidRPr="003835D1">
        <w:rPr>
          <w:rFonts w:ascii="Arial" w:eastAsia="Times New Roman" w:hAnsi="Arial" w:cs="Arial"/>
          <w:color w:val="000000"/>
          <w:sz w:val="27"/>
          <w:szCs w:val="27"/>
        </w:rPr>
        <w:t>ơ</w:t>
      </w:r>
      <w:r w:rsidRPr="003835D1">
        <w:rPr>
          <w:rFonts w:ascii="Arial" w:eastAsia="Times New Roman" w:hAnsi="Arial" w:cs="Arial"/>
          <w:color w:val="000000"/>
          <w:sz w:val="27"/>
          <w:szCs w:val="27"/>
          <w:lang w:val="vi-VN"/>
        </w:rPr>
        <w:t>n, Bắc Giang và Bắc Ninh.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kết nối thuận lợi với vận tải đường sắt, vận tải thủy nội địa đến các cảng biển Hải Phòng và Qu</w:t>
      </w:r>
      <w:r w:rsidRPr="003835D1">
        <w:rPr>
          <w:rFonts w:ascii="Arial" w:eastAsia="Times New Roman" w:hAnsi="Arial" w:cs="Arial"/>
          <w:color w:val="000000"/>
          <w:sz w:val="27"/>
          <w:szCs w:val="27"/>
        </w:rPr>
        <w:t>ả</w:t>
      </w:r>
      <w:r w:rsidRPr="003835D1">
        <w:rPr>
          <w:rFonts w:ascii="Arial" w:eastAsia="Times New Roman" w:hAnsi="Arial" w:cs="Arial"/>
          <w:color w:val="000000"/>
          <w:sz w:val="27"/>
          <w:szCs w:val="27"/>
          <w:lang w:val="vi-VN"/>
        </w:rPr>
        <w:t>ng Ninh, các vị trí gắn với cửa khẩu đường bộ, đường sắt quốc tế; đến năm 2020 có tổng diện tích 30 – 40 ha, năng lực thông qua khoảng 100.000 – 270.000 TEU/năm; đến năm 2030 có tổng diện tích 60 – 70 ha, năng lực thông qua khoảng 400.000 – 720.000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kinh tế Tây Bắc Hà Nội: Phát triển các cảng cạn chủ yếu phục vụ hàng hóa của các tỉnh/thành phố Hà Nội, Hòa Bình, S</w:t>
      </w:r>
      <w:r w:rsidRPr="003835D1">
        <w:rPr>
          <w:rFonts w:ascii="Arial" w:eastAsia="Times New Roman" w:hAnsi="Arial" w:cs="Arial"/>
          <w:color w:val="000000"/>
          <w:sz w:val="27"/>
          <w:szCs w:val="27"/>
        </w:rPr>
        <w:t>ơ</w:t>
      </w:r>
      <w:r w:rsidRPr="003835D1">
        <w:rPr>
          <w:rFonts w:ascii="Arial" w:eastAsia="Times New Roman" w:hAnsi="Arial" w:cs="Arial"/>
          <w:color w:val="000000"/>
          <w:sz w:val="27"/>
          <w:szCs w:val="27"/>
          <w:lang w:val="vi-VN"/>
        </w:rPr>
        <w:t>n La, Điện Biên và Lai Châu; đến năm 2020 có tổng diện tích 15-20 ha, năng lực thông qua khoảng 50.000 – 100.000 TEU/năm; đến năm 2030 có tổng diện tích 30 </w:t>
      </w:r>
      <w:r w:rsidRPr="003835D1">
        <w:rPr>
          <w:rFonts w:ascii="Arial" w:eastAsia="Times New Roman" w:hAnsi="Arial" w:cs="Arial"/>
          <w:color w:val="000000"/>
          <w:sz w:val="27"/>
          <w:szCs w:val="27"/>
        </w:rPr>
        <w:t>ha, năng lực thông qua khoảng 180.000 – 300.000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kinh tế Đông Nam Hà Nội: Phát triển các cảng cạn chủ yếu phục vụ hàng hóa của các tỉnh/thành phố Hà Nội, Bắc Ninh, Hải Dương, Hưng Yên, Thái Nguyên và Bắc Kạn.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có thể kết nối với đường thủy nội địa, đường sắt; đến năm 2020 có tổng diện tích 80 – 90 ha, năng lực thông qua khoảng 350.000 – 900.000 TEU/năm; đến năm 2030 có tổng diện tích 120 – 150 ha, năng lực thông qua khoảng 1.100.000 – 2.000.000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Hành lang kinh tế Hà Nội – Thái Nguyên – Cao Bằng: Phát triển các cảng cạn chủ y</w:t>
      </w:r>
      <w:r w:rsidRPr="003835D1">
        <w:rPr>
          <w:rFonts w:ascii="Arial" w:eastAsia="Times New Roman" w:hAnsi="Arial" w:cs="Arial"/>
          <w:color w:val="000000"/>
          <w:sz w:val="27"/>
          <w:szCs w:val="27"/>
        </w:rPr>
        <w:t>ế</w:t>
      </w:r>
      <w:r w:rsidRPr="003835D1">
        <w:rPr>
          <w:rFonts w:ascii="Arial" w:eastAsia="Times New Roman" w:hAnsi="Arial" w:cs="Arial"/>
          <w:color w:val="000000"/>
          <w:sz w:val="27"/>
          <w:szCs w:val="27"/>
          <w:lang w:val="vi-VN"/>
        </w:rPr>
        <w:t>u phục vụ hàng hóa của các tỉnh Thái Nguyên, Cao Bằng, Bắc Kạn, phục vụ hàng hóa giao lưu thương mại Việt Nam – Trung Quốc.</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Ưu tiên các vị trí có thể kết nối với vận tải đường sắt đến các cảng biển Hải Phòng và Quảng Ninh hoặc gần các cửa khẩu kinh tế với Trung Quốc; đến năm 2020 có tổng diện tích 20 – 30 ha, năng lực thông qua khoảng 20.000 – 40.000 TEU/năm; đến năm 2030 có tổng diện tích 40 – 50 ha, năng lực thông qua khoảng 70.000 – 120.000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 Khu vực miền Trung – Tây Nguyên: Quy hoạch phát triển cảng cạn tại các khu vực kinh tế, hành lang kinh tế, gồm: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Hành lang kinh tế Đường 9: Phát triển các cảng cạn chủ yếu phục vụ trực tiếp cho hoạt động vận tải hàng hóa qua biên giới với Lào, hoạt động vận tải trên hành lang kinh tế Đông Tây, kết nối với các cảng biển Đà N</w:t>
      </w:r>
      <w:r w:rsidRPr="003835D1">
        <w:rPr>
          <w:rFonts w:ascii="Arial" w:eastAsia="Times New Roman" w:hAnsi="Arial" w:cs="Arial"/>
          <w:color w:val="000000"/>
          <w:sz w:val="27"/>
          <w:szCs w:val="27"/>
        </w:rPr>
        <w:t>ẵ</w:t>
      </w:r>
      <w:r w:rsidRPr="003835D1">
        <w:rPr>
          <w:rFonts w:ascii="Arial" w:eastAsia="Times New Roman" w:hAnsi="Arial" w:cs="Arial"/>
          <w:color w:val="000000"/>
          <w:sz w:val="27"/>
          <w:szCs w:val="27"/>
          <w:lang w:val="vi-VN"/>
        </w:rPr>
        <w:t>ng, Thừa Thiên Huế, Quảng Trị.</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vị trí khu kinh tế cửa khẩu; đến năm 2020 có tổng diện tích 5-10 ha, năng lực thông qua khoảng 5.000 – 10.000 TEU/năm; đến năm 2030 có tổng diện tích 10 ha, năng lực thông qua khoảng 15.000 – 30.000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kinh tế Đà N</w:t>
      </w:r>
      <w:r w:rsidRPr="003835D1">
        <w:rPr>
          <w:rFonts w:ascii="Arial" w:eastAsia="Times New Roman" w:hAnsi="Arial" w:cs="Arial"/>
          <w:color w:val="000000"/>
          <w:sz w:val="27"/>
          <w:szCs w:val="27"/>
        </w:rPr>
        <w:t>ẵ</w:t>
      </w:r>
      <w:r w:rsidRPr="003835D1">
        <w:rPr>
          <w:rFonts w:ascii="Arial" w:eastAsia="Times New Roman" w:hAnsi="Arial" w:cs="Arial"/>
          <w:color w:val="000000"/>
          <w:sz w:val="27"/>
          <w:szCs w:val="27"/>
          <w:lang w:val="vi-VN"/>
        </w:rPr>
        <w:t>ng – Thừa Thiên Hu</w:t>
      </w:r>
      <w:r w:rsidRPr="003835D1">
        <w:rPr>
          <w:rFonts w:ascii="Arial" w:eastAsia="Times New Roman" w:hAnsi="Arial" w:cs="Arial"/>
          <w:color w:val="000000"/>
          <w:sz w:val="27"/>
          <w:szCs w:val="27"/>
        </w:rPr>
        <w:t>ế</w:t>
      </w:r>
      <w:r w:rsidRPr="003835D1">
        <w:rPr>
          <w:rFonts w:ascii="Arial" w:eastAsia="Times New Roman" w:hAnsi="Arial" w:cs="Arial"/>
          <w:color w:val="000000"/>
          <w:sz w:val="27"/>
          <w:szCs w:val="27"/>
          <w:lang w:val="vi-VN"/>
        </w:rPr>
        <w:t>, Đường 14: Phát triển các cảng cạn chủ yếu phục vụ trực tiếp cho các khu công nghiệp trên địa bàn thành phố Đà N</w:t>
      </w:r>
      <w:r w:rsidRPr="003835D1">
        <w:rPr>
          <w:rFonts w:ascii="Arial" w:eastAsia="Times New Roman" w:hAnsi="Arial" w:cs="Arial"/>
          <w:color w:val="000000"/>
          <w:sz w:val="27"/>
          <w:szCs w:val="27"/>
        </w:rPr>
        <w:t>ẵ</w:t>
      </w:r>
      <w:r w:rsidRPr="003835D1">
        <w:rPr>
          <w:rFonts w:ascii="Arial" w:eastAsia="Times New Roman" w:hAnsi="Arial" w:cs="Arial"/>
          <w:color w:val="000000"/>
          <w:sz w:val="27"/>
          <w:szCs w:val="27"/>
          <w:lang w:val="vi-VN"/>
        </w:rPr>
        <w:t>ng, đồng thời hỗ trợ cho tổ chức vận tải sau cảng biển Đà N</w:t>
      </w:r>
      <w:r w:rsidRPr="003835D1">
        <w:rPr>
          <w:rFonts w:ascii="Arial" w:eastAsia="Times New Roman" w:hAnsi="Arial" w:cs="Arial"/>
          <w:color w:val="000000"/>
          <w:sz w:val="27"/>
          <w:szCs w:val="27"/>
        </w:rPr>
        <w:t>ẵ</w:t>
      </w:r>
      <w:r w:rsidRPr="003835D1">
        <w:rPr>
          <w:rFonts w:ascii="Arial" w:eastAsia="Times New Roman" w:hAnsi="Arial" w:cs="Arial"/>
          <w:color w:val="000000"/>
          <w:sz w:val="27"/>
          <w:szCs w:val="27"/>
          <w:lang w:val="vi-VN"/>
        </w:rPr>
        <w:t>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vị trí trong tương lai có thể tích hợp với quy hoạch trung tâm logistics khu vực thành phố Đà N</w:t>
      </w:r>
      <w:r w:rsidRPr="003835D1">
        <w:rPr>
          <w:rFonts w:ascii="Arial" w:eastAsia="Times New Roman" w:hAnsi="Arial" w:cs="Arial"/>
          <w:color w:val="000000"/>
          <w:sz w:val="27"/>
          <w:szCs w:val="27"/>
        </w:rPr>
        <w:t>ẵ</w:t>
      </w:r>
      <w:r w:rsidRPr="003835D1">
        <w:rPr>
          <w:rFonts w:ascii="Arial" w:eastAsia="Times New Roman" w:hAnsi="Arial" w:cs="Arial"/>
          <w:color w:val="000000"/>
          <w:sz w:val="27"/>
          <w:szCs w:val="27"/>
          <w:lang w:val="vi-VN"/>
        </w:rPr>
        <w:t>n</w:t>
      </w:r>
      <w:r w:rsidRPr="003835D1">
        <w:rPr>
          <w:rFonts w:ascii="Arial" w:eastAsia="Times New Roman" w:hAnsi="Arial" w:cs="Arial"/>
          <w:color w:val="000000"/>
          <w:sz w:val="27"/>
          <w:szCs w:val="27"/>
        </w:rPr>
        <w:t>g</w:t>
      </w:r>
      <w:r w:rsidRPr="003835D1">
        <w:rPr>
          <w:rFonts w:ascii="Arial" w:eastAsia="Times New Roman" w:hAnsi="Arial" w:cs="Arial"/>
          <w:color w:val="000000"/>
          <w:sz w:val="27"/>
          <w:szCs w:val="27"/>
          <w:lang w:val="vi-VN"/>
        </w:rPr>
        <w:t>; đến năm 2020 có tổng diện tích 5 – 10 ha có năng </w:t>
      </w:r>
      <w:r w:rsidRPr="003835D1">
        <w:rPr>
          <w:rFonts w:ascii="Arial" w:eastAsia="Times New Roman" w:hAnsi="Arial" w:cs="Arial"/>
          <w:color w:val="000000"/>
          <w:sz w:val="27"/>
          <w:szCs w:val="27"/>
        </w:rPr>
        <w:t>l</w:t>
      </w:r>
      <w:r w:rsidRPr="003835D1">
        <w:rPr>
          <w:rFonts w:ascii="Arial" w:eastAsia="Times New Roman" w:hAnsi="Arial" w:cs="Arial"/>
          <w:color w:val="000000"/>
          <w:sz w:val="27"/>
          <w:szCs w:val="27"/>
          <w:lang w:val="vi-VN"/>
        </w:rPr>
        <w:t>ực thông qua khoảng 30.000 – 90.000 TEU/năm; đến năm 2030 có tổng diện tích 15 – 20 ha, có năng lực thông qua khoảng 120.000 – 230.000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Hành lang kinh tế Đường 19: Phát triển các cảng cạn chủ yếu phục vụ hàng hóa trên địa bàn tỉnh Bình Định, Phú Yên và hàng hóa từ các tỉnh Tây Nguyên đ</w:t>
      </w:r>
      <w:r w:rsidRPr="003835D1">
        <w:rPr>
          <w:rFonts w:ascii="Arial" w:eastAsia="Times New Roman" w:hAnsi="Arial" w:cs="Arial"/>
          <w:color w:val="000000"/>
          <w:sz w:val="27"/>
          <w:szCs w:val="27"/>
        </w:rPr>
        <w:t>ế</w:t>
      </w:r>
      <w:r w:rsidRPr="003835D1">
        <w:rPr>
          <w:rFonts w:ascii="Arial" w:eastAsia="Times New Roman" w:hAnsi="Arial" w:cs="Arial"/>
          <w:color w:val="000000"/>
          <w:sz w:val="27"/>
          <w:szCs w:val="27"/>
          <w:lang w:val="vi-VN"/>
        </w:rPr>
        <w:t>n cảng Quy Nhơn.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vị trí trong tương lai có thể tích hợp với quy hoạch trung tâm logistics tỉnh Bình Định; đến năm 2020 có tổng diện tích 15-20 ha, năng lực </w:t>
      </w:r>
      <w:r w:rsidRPr="003835D1">
        <w:rPr>
          <w:rFonts w:ascii="Arial" w:eastAsia="Times New Roman" w:hAnsi="Arial" w:cs="Arial"/>
          <w:color w:val="000000"/>
          <w:sz w:val="27"/>
          <w:szCs w:val="27"/>
        </w:rPr>
        <w:t>thông qua khoảng 20.000 – 60.000 TEU/năm; đến năm 2030 có tổng diện tích 30 ha, năng lực thông qua khoảng 75.000 – 140.000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Tây Nguyên: Phát triển các cảng cạn chủ yếu phục vụ hàng hóa của các tỉnh Gia Lai, Kon T</w:t>
      </w:r>
      <w:r w:rsidRPr="003835D1">
        <w:rPr>
          <w:rFonts w:ascii="Arial" w:eastAsia="Times New Roman" w:hAnsi="Arial" w:cs="Arial"/>
          <w:color w:val="000000"/>
          <w:sz w:val="27"/>
          <w:szCs w:val="27"/>
        </w:rPr>
        <w:t>u</w:t>
      </w:r>
      <w:r w:rsidRPr="003835D1">
        <w:rPr>
          <w:rFonts w:ascii="Arial" w:eastAsia="Times New Roman" w:hAnsi="Arial" w:cs="Arial"/>
          <w:color w:val="000000"/>
          <w:sz w:val="27"/>
          <w:szCs w:val="27"/>
          <w:lang w:val="vi-VN"/>
        </w:rPr>
        <w:t>m và Đắk Lắk.</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Ưu tiên vị trí kết nối thuận tiện đến cảng Quy Nhơn, Khánh Hòa, Th</w:t>
      </w:r>
      <w:r w:rsidRPr="003835D1">
        <w:rPr>
          <w:rFonts w:ascii="Arial" w:eastAsia="Times New Roman" w:hAnsi="Arial" w:cs="Arial"/>
          <w:color w:val="000000"/>
          <w:sz w:val="27"/>
          <w:szCs w:val="27"/>
        </w:rPr>
        <w:t>à</w:t>
      </w:r>
      <w:r w:rsidRPr="003835D1">
        <w:rPr>
          <w:rFonts w:ascii="Arial" w:eastAsia="Times New Roman" w:hAnsi="Arial" w:cs="Arial"/>
          <w:color w:val="000000"/>
          <w:sz w:val="27"/>
          <w:szCs w:val="27"/>
          <w:lang w:val="vi-VN"/>
        </w:rPr>
        <w:t>nh ph</w:t>
      </w:r>
      <w:r w:rsidRPr="003835D1">
        <w:rPr>
          <w:rFonts w:ascii="Arial" w:eastAsia="Times New Roman" w:hAnsi="Arial" w:cs="Arial"/>
          <w:color w:val="000000"/>
          <w:sz w:val="27"/>
          <w:szCs w:val="27"/>
        </w:rPr>
        <w:t>ố </w:t>
      </w:r>
      <w:r w:rsidRPr="003835D1">
        <w:rPr>
          <w:rFonts w:ascii="Arial" w:eastAsia="Times New Roman" w:hAnsi="Arial" w:cs="Arial"/>
          <w:color w:val="000000"/>
          <w:sz w:val="27"/>
          <w:szCs w:val="27"/>
          <w:lang w:val="vi-VN"/>
        </w:rPr>
        <w:t>Hồ Chí Minh; đến năm 2020 có tổng diện tích 15 – 20 ha, năng lực thông qua khoảng 10.000 – 15.000 TEU/năm; đến năm 2030 có tổng diện tích 30 ha, năng lực thông qua khoảng 35.000 – 50.000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kinh tế Nghi Sơn: Phục vụ chủ yếu cho hoạt động của các khu công nghiệp trong tỉnh; đến năm 2030 có diện tích khoảng 20 ha, năng lực thông qua khoảng 85.000 – 150.000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Hành lang kinh tế Đường 8, Đường 12A: Phát triển cảng cạn trên cơ sở các điều kiện về phát triển vận tải hàng hóa qua biên giới, hàng hóa thông qua các cảng biển tại Hà Tĩnh, Quảng Bình; đến năm 2030 có tổng diện tích khoảng 10-15 ha, năng lực thông qua khoảng 20.000 – 30.000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c) Khu vực miền Nam: Quy hoạch phát triển cảng cạn tại các khu vực kinh tế, hành lang kinh tế, gồm: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kinh tế Đông Bắc Thành phố Hồ Chí Minh: Phát triển các cảng cạn chủ yếu phục vụ hàng hóa của các tỉnh/Thành phố Hồ Chí Minh, Đồng Nai, Bình Dương, Bà Rịa </w:t>
      </w:r>
      <w:r w:rsidRPr="003835D1">
        <w:rPr>
          <w:rFonts w:ascii="Arial" w:eastAsia="Times New Roman" w:hAnsi="Arial" w:cs="Arial"/>
          <w:color w:val="000000"/>
          <w:sz w:val="27"/>
          <w:szCs w:val="27"/>
        </w:rPr>
        <w:t>– </w:t>
      </w:r>
      <w:r w:rsidRPr="003835D1">
        <w:rPr>
          <w:rFonts w:ascii="Arial" w:eastAsia="Times New Roman" w:hAnsi="Arial" w:cs="Arial"/>
          <w:color w:val="000000"/>
          <w:sz w:val="27"/>
          <w:szCs w:val="27"/>
          <w:lang w:val="vi-VN"/>
        </w:rPr>
        <w:t>Vũng Tàu, các tỉnh Tây Nguyên, đồng bằng sông Cửu Long, đồng thời đóng vai trò trung chuyển, hỗ trợ cho việc vận chuyển hàng hóa đến hoặc từ các cảng biển Thành phố Hồ Chí Minh, Vũng Tàu.</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có khả năng kết n</w:t>
      </w:r>
      <w:r w:rsidRPr="003835D1">
        <w:rPr>
          <w:rFonts w:ascii="Arial" w:eastAsia="Times New Roman" w:hAnsi="Arial" w:cs="Arial"/>
          <w:color w:val="000000"/>
          <w:sz w:val="27"/>
          <w:szCs w:val="27"/>
        </w:rPr>
        <w:t>ố</w:t>
      </w:r>
      <w:r w:rsidRPr="003835D1">
        <w:rPr>
          <w:rFonts w:ascii="Arial" w:eastAsia="Times New Roman" w:hAnsi="Arial" w:cs="Arial"/>
          <w:color w:val="000000"/>
          <w:sz w:val="27"/>
          <w:szCs w:val="27"/>
          <w:lang w:val="vi-VN"/>
        </w:rPr>
        <w:t>i thuận lợi với vận tải thủy nội địa; xem xét một số vị trí có khả năng kết nối với vận tải đường sắt theo quy hoạch; đến năm 2020 tổng diện tích khoảng 260 – 320 ha, năng lực thông qua khoảng 2.700.000 – 4.000.000 TEU/năm; đến năm 2030 có tổng diện tích 425 – 550 ha, năng lực thông qua khoảng 7.300.000 – 10.000.000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Khu vực kinh tế Tây Nam Thành phố Hồ Chí Minh: Phát triển các cảng cạn chủ yếu phục vụ hàng hóa của các tỉnh/Thành phố Hồ Chí Minh, Tây Ninh, các tỉnh đồng bằng sông Cửu Long.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có khả năng kết nối thu</w:t>
      </w:r>
      <w:r w:rsidRPr="003835D1">
        <w:rPr>
          <w:rFonts w:ascii="Arial" w:eastAsia="Times New Roman" w:hAnsi="Arial" w:cs="Arial"/>
          <w:color w:val="000000"/>
          <w:sz w:val="27"/>
          <w:szCs w:val="27"/>
        </w:rPr>
        <w:t>ậ</w:t>
      </w:r>
      <w:r w:rsidRPr="003835D1">
        <w:rPr>
          <w:rFonts w:ascii="Arial" w:eastAsia="Times New Roman" w:hAnsi="Arial" w:cs="Arial"/>
          <w:color w:val="000000"/>
          <w:sz w:val="27"/>
          <w:szCs w:val="27"/>
          <w:lang w:val="vi-VN"/>
        </w:rPr>
        <w:t>n lợi với vận tải thủy nội địa; xem xét một số vị trí có khả năng kết nối với vận tải đường sắt theo quy hoạch; đến năm 2020 có tổng diện tích 35 – 55 ha, năng lực thông qua khoảng 450.000 – 700.000 TEU/năm; đến năm 2030 có tổng diện tích 65 – 80 ha, năng lực thông qua khoảng 1.300.000 – 1.700.000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 Khu vực đồng bằng </w:t>
      </w:r>
      <w:r w:rsidRPr="003835D1">
        <w:rPr>
          <w:rFonts w:ascii="Arial" w:eastAsia="Times New Roman" w:hAnsi="Arial" w:cs="Arial"/>
          <w:color w:val="000000"/>
          <w:sz w:val="27"/>
          <w:szCs w:val="27"/>
        </w:rPr>
        <w:t>sông Cửu Long: Phát triển cảng cạn chủ yếu phục vụ </w:t>
      </w:r>
      <w:r w:rsidRPr="003835D1">
        <w:rPr>
          <w:rFonts w:ascii="Arial" w:eastAsia="Times New Roman" w:hAnsi="Arial" w:cs="Arial"/>
          <w:color w:val="000000"/>
          <w:sz w:val="27"/>
          <w:szCs w:val="27"/>
          <w:lang w:val="vi-VN"/>
        </w:rPr>
        <w:t>hàng h</w:t>
      </w:r>
      <w:r w:rsidRPr="003835D1">
        <w:rPr>
          <w:rFonts w:ascii="Arial" w:eastAsia="Times New Roman" w:hAnsi="Arial" w:cs="Arial"/>
          <w:color w:val="000000"/>
          <w:sz w:val="27"/>
          <w:szCs w:val="27"/>
        </w:rPr>
        <w:t>óa </w:t>
      </w:r>
      <w:r w:rsidRPr="003835D1">
        <w:rPr>
          <w:rFonts w:ascii="Arial" w:eastAsia="Times New Roman" w:hAnsi="Arial" w:cs="Arial"/>
          <w:color w:val="000000"/>
          <w:sz w:val="27"/>
          <w:szCs w:val="27"/>
          <w:lang w:val="vi-VN"/>
        </w:rPr>
        <w:t>của các tỉnh/thành phố Cần Thơ, Trà Vinh, Hậu Giang, Vĩnh Long, Kiên Giang, Cà Mau, Bạc Liêu, Đồng Tháp, Long An, Tiền Giang, Bến Tre, Sóc Trăng và An Giang.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các vị trí kết nối thuận lợi với vận tải thủy nội địa; đến năm 2020 có tổng diện tích 20 – 30 ha có năng lực thông qua khoảng 100.000 – 160.000 TEU/năm; đến năm 2030 có tổng diện tích 50 – 70 ha, năng lực thông qua khoảng 300.000 – 450.000 TEU/năm.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4. Nhu cầu vốn đầu tư và danh mục ưu tiên đầu tư</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a) Tổng nhu cầu vốn đầu tư phát triển cảng cạn đến năm 2020 khoảng 09 – 15 nghìn tỷ đồng, giai đoạn 2020 – 2030 khoảng 20 – 22 nghìn tỷ đồng.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 Giai đoạn từ nay đến năm 2020, tập trung đầu tư một số cảng cạn trên các hành lang vận tải kết nối với các cửa khẩu cảng biển lớn ở khu vực phía Bắc (cảng Hải Phòng) và khu vực phía Nam (cảng Thành phố Hồ Chí Minh, Cái Mép – Thị Vải), các cảng cạn gắn với các hành lang vận tải qua biên giới.</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Ưu tiên đầu tư cảng cạn có vị trí kết nối được với hai phương thức vận tải, các vị trí gắn liền hoặc nằm gần các cụm khu công nghiệp, khu ch</w:t>
      </w:r>
      <w:r w:rsidRPr="003835D1">
        <w:rPr>
          <w:rFonts w:ascii="Arial" w:eastAsia="Times New Roman" w:hAnsi="Arial" w:cs="Arial"/>
          <w:color w:val="000000"/>
          <w:sz w:val="27"/>
          <w:szCs w:val="27"/>
        </w:rPr>
        <w:t>ế </w:t>
      </w:r>
      <w:r w:rsidRPr="003835D1">
        <w:rPr>
          <w:rFonts w:ascii="Arial" w:eastAsia="Times New Roman" w:hAnsi="Arial" w:cs="Arial"/>
          <w:color w:val="000000"/>
          <w:sz w:val="27"/>
          <w:szCs w:val="27"/>
          <w:lang w:val="vi-VN"/>
        </w:rPr>
        <w:t>xuất tập trung, các trung tâm logistics cấp I đã được quy hoạch, các cửa kh</w:t>
      </w:r>
      <w:r w:rsidRPr="003835D1">
        <w:rPr>
          <w:rFonts w:ascii="Arial" w:eastAsia="Times New Roman" w:hAnsi="Arial" w:cs="Arial"/>
          <w:color w:val="000000"/>
          <w:sz w:val="27"/>
          <w:szCs w:val="27"/>
        </w:rPr>
        <w:t>ẩ</w:t>
      </w:r>
      <w:r w:rsidRPr="003835D1">
        <w:rPr>
          <w:rFonts w:ascii="Arial" w:eastAsia="Times New Roman" w:hAnsi="Arial" w:cs="Arial"/>
          <w:color w:val="000000"/>
          <w:sz w:val="27"/>
          <w:szCs w:val="27"/>
          <w:lang w:val="vi-VN"/>
        </w:rPr>
        <w:t>u quốc tế lớn về đường bộ.</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5. Một số giải pháp và cơ chế, chính sách chủ yếu</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a) Tăng cường quản lý nhà nước đối với phát triển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Nâng cao chất lượng và hiệu quả công tác quản lý nhà nước trong quá trình triển khai thực hiện quy hoạch phát triển hệ thống cảng cạn, bảo đảm tương thích và đồng bộ với quy hoạch phát triển kinh tế – xã hội, quy hoạch giao thông vận tải, </w:t>
      </w:r>
      <w:hyperlink r:id="rId4" w:history="1">
        <w:r w:rsidRPr="003835D1">
          <w:rPr>
            <w:rFonts w:ascii="Arial" w:eastAsia="Times New Roman" w:hAnsi="Arial" w:cs="Arial"/>
            <w:color w:val="1275CC"/>
            <w:sz w:val="27"/>
            <w:szCs w:val="27"/>
            <w:u w:val="single"/>
            <w:lang w:val="vi-VN"/>
          </w:rPr>
          <w:t>quy hoạch xây dựng</w:t>
        </w:r>
      </w:hyperlink>
      <w:r w:rsidRPr="003835D1">
        <w:rPr>
          <w:rFonts w:ascii="Arial" w:eastAsia="Times New Roman" w:hAnsi="Arial" w:cs="Arial"/>
          <w:color w:val="000000"/>
          <w:sz w:val="27"/>
          <w:szCs w:val="27"/>
          <w:lang w:val="vi-VN"/>
        </w:rPr>
        <w:t>, quy hoạch đô thị và các quy hoạch chuyên ngành khác như: Quy hoạch hệ thống trung tâm logistics, quy hoạch thương mại, quy hoạch các khu công nghiệp, khu sản xuất hàng hóa tập trung, khu kinh tế và kinh tế cửa khẩu… của các ngành, các địa phương và cả nước.</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Rà soát, hoàn thiện các cơ chế, chính sách nh</w:t>
      </w:r>
      <w:r w:rsidRPr="003835D1">
        <w:rPr>
          <w:rFonts w:ascii="Arial" w:eastAsia="Times New Roman" w:hAnsi="Arial" w:cs="Arial"/>
          <w:color w:val="000000"/>
          <w:sz w:val="27"/>
          <w:szCs w:val="27"/>
        </w:rPr>
        <w:t>ằ</w:t>
      </w:r>
      <w:r w:rsidRPr="003835D1">
        <w:rPr>
          <w:rFonts w:ascii="Arial" w:eastAsia="Times New Roman" w:hAnsi="Arial" w:cs="Arial"/>
          <w:color w:val="000000"/>
          <w:sz w:val="27"/>
          <w:szCs w:val="27"/>
          <w:lang w:val="vi-VN"/>
        </w:rPr>
        <w:t xml:space="preserve">m huy động tối đa mọi nguồn lực để phát triển hệ thống cảng cạn; khuyến khích và tạo điều kiện </w:t>
      </w:r>
      <w:r w:rsidRPr="003835D1">
        <w:rPr>
          <w:rFonts w:ascii="Arial" w:eastAsia="Times New Roman" w:hAnsi="Arial" w:cs="Arial"/>
          <w:color w:val="000000"/>
          <w:sz w:val="27"/>
          <w:szCs w:val="27"/>
          <w:lang w:val="vi-VN"/>
        </w:rPr>
        <w:lastRenderedPageBreak/>
        <w:t>thuận lợi cho doanh nghiệp thuộc các thành phần kinh tế tham gia đầu tư xây dựng và quản lý khai thác cảng cạn bằng nhiều hình thức theo quy định của pháp luật; kh</w:t>
      </w:r>
      <w:r w:rsidRPr="003835D1">
        <w:rPr>
          <w:rFonts w:ascii="Arial" w:eastAsia="Times New Roman" w:hAnsi="Arial" w:cs="Arial"/>
          <w:color w:val="000000"/>
          <w:sz w:val="27"/>
          <w:szCs w:val="27"/>
        </w:rPr>
        <w:t>u</w:t>
      </w:r>
      <w:r w:rsidRPr="003835D1">
        <w:rPr>
          <w:rFonts w:ascii="Arial" w:eastAsia="Times New Roman" w:hAnsi="Arial" w:cs="Arial"/>
          <w:color w:val="000000"/>
          <w:sz w:val="27"/>
          <w:szCs w:val="27"/>
          <w:lang w:val="vi-VN"/>
        </w:rPr>
        <w:t>yến khích đầu tư và phát triển dịch vụ cảng cạn, gồm cả hoạt động của cảng cạn gắn với cảng thủy nội địa, ga đường sắt, trung tâm logistics.</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 Huy động tối đa mọi nguồn lực để phát triển hệ thống cảng cạn và hệ thống giao thông kết nối:</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Mở rộng và đa dạng hóa các hình thức đầu tư theo hướng đẩy mạnh xã hội h</w:t>
      </w:r>
      <w:r w:rsidRPr="003835D1">
        <w:rPr>
          <w:rFonts w:ascii="Arial" w:eastAsia="Times New Roman" w:hAnsi="Arial" w:cs="Arial"/>
          <w:color w:val="000000"/>
          <w:sz w:val="27"/>
          <w:szCs w:val="27"/>
        </w:rPr>
        <w:t>ó</w:t>
      </w:r>
      <w:r w:rsidRPr="003835D1">
        <w:rPr>
          <w:rFonts w:ascii="Arial" w:eastAsia="Times New Roman" w:hAnsi="Arial" w:cs="Arial"/>
          <w:color w:val="000000"/>
          <w:sz w:val="27"/>
          <w:szCs w:val="27"/>
          <w:lang w:val="vi-VN"/>
        </w:rPr>
        <w:t>a; khuyến khích v</w:t>
      </w:r>
      <w:r w:rsidRPr="003835D1">
        <w:rPr>
          <w:rFonts w:ascii="Arial" w:eastAsia="Times New Roman" w:hAnsi="Arial" w:cs="Arial"/>
          <w:color w:val="000000"/>
          <w:sz w:val="27"/>
          <w:szCs w:val="27"/>
        </w:rPr>
        <w:t>à </w:t>
      </w:r>
      <w:r w:rsidRPr="003835D1">
        <w:rPr>
          <w:rFonts w:ascii="Arial" w:eastAsia="Times New Roman" w:hAnsi="Arial" w:cs="Arial"/>
          <w:color w:val="000000"/>
          <w:sz w:val="27"/>
          <w:szCs w:val="27"/>
          <w:lang w:val="vi-VN"/>
        </w:rPr>
        <w:t>tạo điều kiện thuận lợi cho các doanh nghiệp thuộc mọi thành phần kinh tế tham gia đầu tư xây dựng và khai thác cảng cạn bằng các hình thức theo quy định của pháp luật; vận dụng linh hoạt các chính sách hỗ trợ, ưu đãi hiện hành phù hợp với điều kiện cụ thể về kinh tế – xã hội của từng địa phương về tín dụng, thuế, giá, phí, lệ phí, chuyển giao công nghệ, nhượng quyền….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 Xem xét áp dụng đầu tư phát triển cảng cạn theo theo hình thức đối tác công tư (PPP) đối với các cảng cạn có quy mô lớn theo hướng Nhà nước tạo điều kiện về quỹ đất; nghiên c</w:t>
      </w:r>
      <w:r w:rsidRPr="003835D1">
        <w:rPr>
          <w:rFonts w:ascii="Arial" w:eastAsia="Times New Roman" w:hAnsi="Arial" w:cs="Arial"/>
          <w:color w:val="000000"/>
          <w:sz w:val="27"/>
          <w:szCs w:val="27"/>
        </w:rPr>
        <w:t>ứ</w:t>
      </w:r>
      <w:r w:rsidRPr="003835D1">
        <w:rPr>
          <w:rFonts w:ascii="Arial" w:eastAsia="Times New Roman" w:hAnsi="Arial" w:cs="Arial"/>
          <w:color w:val="000000"/>
          <w:sz w:val="27"/>
          <w:szCs w:val="27"/>
          <w:lang w:val="vi-VN"/>
        </w:rPr>
        <w:t>u quy hoạch kết nối đường sắt với cảng cạn; hoàn chỉnh môi trường pháp lý và ban hành cơ chế, chính sách phát triển cảng, tư nhân đầu tư thiết bị, kho bãi và tổ chức quản lý, khai thác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c) Kết hợp quy hoạch phát triển cảng cạn và trung tâm logistics: Hình thành một số cảng cạn kết hợp với phát triển các trung tâm logistics theo Quy hoạch phát triển hệ thống </w:t>
      </w:r>
      <w:r w:rsidRPr="003835D1">
        <w:rPr>
          <w:rFonts w:ascii="Arial" w:eastAsia="Times New Roman" w:hAnsi="Arial" w:cs="Arial"/>
          <w:color w:val="000000"/>
          <w:sz w:val="27"/>
          <w:szCs w:val="27"/>
        </w:rPr>
        <w:t>tr</w:t>
      </w:r>
      <w:r w:rsidRPr="003835D1">
        <w:rPr>
          <w:rFonts w:ascii="Arial" w:eastAsia="Times New Roman" w:hAnsi="Arial" w:cs="Arial"/>
          <w:color w:val="000000"/>
          <w:sz w:val="27"/>
          <w:szCs w:val="27"/>
          <w:lang w:val="vi-VN"/>
        </w:rPr>
        <w:t>ung tâm logistics trên phạm vi cả nước đã được Thủ tướng Chính phủ phê duyệt tại Quyết định số 1012/QĐ-TTg ngày 03 tháng 7 năm 2015; gắn kết, lồng ghép giữa quy hoạch cảng cạn và quy hoạch trung tâm logistics để đảm bảo tránh lãng phí về nguồn lực đầu tư, vừa đảm bảo hiệu quả khai thác tối ưu, phù hợp với điều kiện thực tế của Việt Nam.</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d) Tăng cường sự tham gia của vận tải đường sắt, đường thủy nội địa vào lĩnh vực vận tải công – ten </w:t>
      </w:r>
      <w:r w:rsidRPr="003835D1">
        <w:rPr>
          <w:rFonts w:ascii="Arial" w:eastAsia="Times New Roman" w:hAnsi="Arial" w:cs="Arial"/>
          <w:color w:val="000000"/>
          <w:sz w:val="27"/>
          <w:szCs w:val="27"/>
        </w:rPr>
        <w:t>–</w:t>
      </w:r>
      <w:r w:rsidRPr="003835D1">
        <w:rPr>
          <w:rFonts w:ascii="Arial" w:eastAsia="Times New Roman" w:hAnsi="Arial" w:cs="Arial"/>
          <w:color w:val="000000"/>
          <w:sz w:val="27"/>
          <w:szCs w:val="27"/>
          <w:lang w:val="vi-VN"/>
        </w:rPr>
        <w:t> nơ và phát triển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đ) Bố trí quỹ đất phù hợp để phát triển hệ thống cảng cạn; các địa phương chủ động, linh hoạt trong việc thực hiện các chính sách đất đai để hỗ trợ cho xây dựng các cảng cạn; thực hiện đấu giá quyền sử dụng đất theo quy định của pháp luật đối với các </w:t>
      </w:r>
      <w:hyperlink r:id="rId5" w:history="1">
        <w:r w:rsidRPr="003835D1">
          <w:rPr>
            <w:rFonts w:ascii="Arial" w:eastAsia="Times New Roman" w:hAnsi="Arial" w:cs="Arial"/>
            <w:color w:val="1275CC"/>
            <w:sz w:val="27"/>
            <w:szCs w:val="27"/>
            <w:u w:val="single"/>
            <w:lang w:val="vi-VN"/>
          </w:rPr>
          <w:t>dự án đầu tư xây dựng</w:t>
        </w:r>
      </w:hyperlink>
      <w:r w:rsidRPr="003835D1">
        <w:rPr>
          <w:rFonts w:ascii="Arial" w:eastAsia="Times New Roman" w:hAnsi="Arial" w:cs="Arial"/>
          <w:color w:val="000000"/>
          <w:sz w:val="27"/>
          <w:szCs w:val="27"/>
          <w:lang w:val="vi-VN"/>
        </w:rPr>
        <w:t>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Điều 2. Tổ chức thực hiện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1. Trách nhiệm của Bộ Giao thông vận tải</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a) Công bố rộng rãi Quyết định điều chỉnh Quy hoạch phát triển hệ thống cảng cạn trên địa bàn cả nước giai đoạn đến năm 2020, định hướng đến năm 2030;</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 Chủ trì, phối hợp với các bộ, ngành, Ủy ban nhân dân các tỉnh, thành phố trực thuộc trung ương có liên quan, tổ chức triển khai thực hiện Quy hoạch phát triển hệ thống cảng cạn; phê duyệt Quy hoạch chi tiết phát triển hệ thống cảng cạn và hướng dẫn các tổ chức, cá nhân thực hiện đầu tư xây dựng và quản lý, khai thác sử dụng cảng cạn theo quy hoạch; định kỳ tổ chức thanh tra, kiểm tra đánh giá tình hình thực hiện quy hoạch; trường hợp có sự thay đổi lớn về điều kiện kinh tế – xã hội và lượng hàng hóa, xem xét thực hiện việc điều chỉnh quy hoạch theo quy định, phù hợp với yêu cầu của thực tế;</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c) Đảm bảo phát triển và gắn kết đồng bộ hệ thống cảng cạn với hệ thống giao thông vận tải đường bộ, đường sắt, đường thủy nội địa, đường biển, giữa các cảng cạn với khu vực sản xuất, tiêu thụ hàng hóa;</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d</w:t>
      </w:r>
      <w:r w:rsidRPr="003835D1">
        <w:rPr>
          <w:rFonts w:ascii="Arial" w:eastAsia="Times New Roman" w:hAnsi="Arial" w:cs="Arial"/>
          <w:color w:val="000000"/>
          <w:sz w:val="27"/>
          <w:szCs w:val="27"/>
        </w:rPr>
        <w:t>) Phối hợp với Bộ Công Thương trong việc triển khai thực hiện Quy </w:t>
      </w:r>
      <w:r w:rsidRPr="003835D1">
        <w:rPr>
          <w:rFonts w:ascii="Arial" w:eastAsia="Times New Roman" w:hAnsi="Arial" w:cs="Arial"/>
          <w:color w:val="000000"/>
          <w:sz w:val="27"/>
          <w:szCs w:val="27"/>
          <w:lang w:val="vi-VN"/>
        </w:rPr>
        <w:t>hoạch này đảm bảo sự hài hòa, phối hợp chặt chẽ, đồng bộ với quy hoạch phát triển hệ thống trung tâm logistics, đặc biệt trong giai đoạn xây dựng quy hoạch chi tiết phát triển hệ thống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đ) Chủ trì, phối hợp với Bộ Tài chính và các cơ quan liên quan tổ chức </w:t>
      </w:r>
      <w:r w:rsidRPr="003835D1">
        <w:rPr>
          <w:rFonts w:ascii="Arial" w:eastAsia="Times New Roman" w:hAnsi="Arial" w:cs="Arial"/>
          <w:color w:val="000000"/>
          <w:sz w:val="27"/>
          <w:szCs w:val="27"/>
        </w:rPr>
        <w:t>k</w:t>
      </w:r>
      <w:r w:rsidRPr="003835D1">
        <w:rPr>
          <w:rFonts w:ascii="Arial" w:eastAsia="Times New Roman" w:hAnsi="Arial" w:cs="Arial"/>
          <w:color w:val="000000"/>
          <w:sz w:val="27"/>
          <w:szCs w:val="27"/>
          <w:lang w:val="vi-VN"/>
        </w:rPr>
        <w:t>iểm tra, đánh giá các điều kiện cụ thể khi xem xét, quyết định công bố mở cảng cạn theo quy định; đồng thời khẩn trương rà soát, hoàn thiện các cơ chế, chính sách khuyến khích đầu tư phát triển cảng cạn theo quy hoạch.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2. Trách nhiệm của Bộ Công Thương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Phối hợp với Bộ Giao thông vận tải trong việc triển khai thực hiện Quy hoạch này đảm bảo sự hài hòa, phối hợp chặt chẽ, đồng bộ với quy hoạch phát triển hệ thống trung tâm logistics, đặc biệt trong giai đoạn xây dựng quy hoạch chi tiết các quy hoạch.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3. Trách nhiệm của Bộ Kế hoạch và Đầu tư</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Chủ trì, phối hợp với các bộ, cơ quan, địa phương có liên quan hướng dẫn, xem xét, áp dụng các quy định đối với dự án đầu tư xây dựng và khai thác cảng cạn theo hình thức đối tác công tư (PPP).</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4. Trách nhiệm của Bộ Tài chính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Chủ trì hướng dẫn thủ tục và tổ chức quản lý hệ thống các địa điểm làm thủ tục hải quan hàng hóa xuất, nhập khẩu đảm bảo tính phù hợp, đồng bộ, hỗ trợ cho sự hình thành phát triển của hệ thống cảng cạn theo quy hoạch.</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5. Trách nhiệm của Bộ Tài nguyên và Môi trường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Chủ trì, phối hợp với Bộ Giao thông vận t</w:t>
      </w:r>
      <w:r w:rsidRPr="003835D1">
        <w:rPr>
          <w:rFonts w:ascii="Arial" w:eastAsia="Times New Roman" w:hAnsi="Arial" w:cs="Arial"/>
          <w:color w:val="000000"/>
          <w:sz w:val="27"/>
          <w:szCs w:val="27"/>
        </w:rPr>
        <w:t>ả</w:t>
      </w:r>
      <w:r w:rsidRPr="003835D1">
        <w:rPr>
          <w:rFonts w:ascii="Arial" w:eastAsia="Times New Roman" w:hAnsi="Arial" w:cs="Arial"/>
          <w:color w:val="000000"/>
          <w:sz w:val="27"/>
          <w:szCs w:val="27"/>
          <w:lang w:val="vi-VN"/>
        </w:rPr>
        <w:t>i và các địa phương liên quan hướng dẫn thực hiện các quy định của pháp luật về bảo vệ môi trường trong việc đầu tư xây dựng, quản lý khai thác, sử dụng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6. Trách nhiệm của Ủy ban nhân dân các tỉnh, thành phố trực thuộc trung ương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B</w:t>
      </w:r>
      <w:r w:rsidRPr="003835D1">
        <w:rPr>
          <w:rFonts w:ascii="Arial" w:eastAsia="Times New Roman" w:hAnsi="Arial" w:cs="Arial"/>
          <w:color w:val="000000"/>
          <w:sz w:val="27"/>
          <w:szCs w:val="27"/>
        </w:rPr>
        <w:t>ố tr</w:t>
      </w:r>
      <w:r w:rsidRPr="003835D1">
        <w:rPr>
          <w:rFonts w:ascii="Arial" w:eastAsia="Times New Roman" w:hAnsi="Arial" w:cs="Arial"/>
          <w:color w:val="000000"/>
          <w:sz w:val="27"/>
          <w:szCs w:val="27"/>
          <w:lang w:val="vi-VN"/>
        </w:rPr>
        <w:t>í quỹ đất để xây dựng cảng cạn phù hợp với quy hoạch sử dụng đất và các quy hoạch phát triển ngành, lĩnh vực khác đã được phê duyệt; tổ chức thực hiện quản lý các lĩnh vực thuộc thẩm quyền của địa phương đối với các hoạt động liên quan đến cảng cạn; phối hợp với Bộ Giao thông vận tải hướng dẫn các tổ chức, cá nhân trong việc thực hiện các quy định của pháp luật về đầu tư xây dựng, khai thác sử dụng cảng cạn.</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t>7. Các Bộ, ngành, Ủy ban nhân dân cấp tỉnh trong phạm vi chức năng, nhiệm vụ, quyền hạn của mình, có </w:t>
      </w:r>
      <w:r w:rsidRPr="003835D1">
        <w:rPr>
          <w:rFonts w:ascii="Arial" w:eastAsia="Times New Roman" w:hAnsi="Arial" w:cs="Arial"/>
          <w:color w:val="000000"/>
          <w:sz w:val="27"/>
          <w:szCs w:val="27"/>
        </w:rPr>
        <w:t>tr</w:t>
      </w:r>
      <w:r w:rsidRPr="003835D1">
        <w:rPr>
          <w:rFonts w:ascii="Arial" w:eastAsia="Times New Roman" w:hAnsi="Arial" w:cs="Arial"/>
          <w:color w:val="000000"/>
          <w:sz w:val="27"/>
          <w:szCs w:val="27"/>
          <w:lang w:val="vi-VN"/>
        </w:rPr>
        <w:t>ách nhiệm phối hợp với Bộ Giao thông vận tải thực hiện các mục tiêu của Quy hoạch tổng thể phát triển cảng cạn, đảm bảo tính thống nhất, đồng bộ với các quy hoạch và kế hoạch phát triển của ngành và địa phương.</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Điều 3</w:t>
      </w:r>
      <w:r w:rsidRPr="003835D1">
        <w:rPr>
          <w:rFonts w:ascii="Arial" w:eastAsia="Times New Roman" w:hAnsi="Arial" w:cs="Arial"/>
          <w:b/>
          <w:bCs/>
          <w:color w:val="000000"/>
          <w:sz w:val="27"/>
          <w:szCs w:val="27"/>
        </w:rPr>
        <w:t>.</w:t>
      </w:r>
      <w:r w:rsidRPr="003835D1">
        <w:rPr>
          <w:rFonts w:ascii="Arial" w:eastAsia="Times New Roman" w:hAnsi="Arial" w:cs="Arial"/>
          <w:color w:val="000000"/>
          <w:sz w:val="27"/>
          <w:szCs w:val="27"/>
        </w:rPr>
        <w:t> </w:t>
      </w:r>
      <w:r w:rsidRPr="003835D1">
        <w:rPr>
          <w:rFonts w:ascii="Arial" w:eastAsia="Times New Roman" w:hAnsi="Arial" w:cs="Arial"/>
          <w:color w:val="000000"/>
          <w:sz w:val="27"/>
          <w:szCs w:val="27"/>
          <w:lang w:val="vi-VN"/>
        </w:rPr>
        <w:t>Quyết định này có hiệu lực thi hành kể từ ngày ký ban hành và thay thế Quyết định số 2223/QĐ-TTg ngày 13 tháng 12 năm 2011 của Thủ tướng Chính phủ phê duyệt Quy hoạch phát triển hệ thống cảng cạn Việt Nam đến năm 2020, định hướng đến năm 2030.</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Điều 4.</w:t>
      </w:r>
      <w:r w:rsidRPr="003835D1">
        <w:rPr>
          <w:rFonts w:ascii="Arial" w:eastAsia="Times New Roman" w:hAnsi="Arial" w:cs="Arial"/>
          <w:color w:val="000000"/>
          <w:sz w:val="27"/>
          <w:szCs w:val="27"/>
          <w:lang w:val="vi-VN"/>
        </w:rPr>
        <w:t> Các Bộ trưởng, Thủ trưởng cơ quan ngang Bộ, Thủ trưởng cơ quan thuộc Chính phủ, Chủ tịch Ủy ban nhân dân tỉnh, thành phố trực thuộc trung ương chịu trách nhiệm thi hành Quyết định này./.</w:t>
      </w:r>
    </w:p>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lang w:val="vi-VN"/>
        </w:rPr>
        <w:lastRenderedPageBreak/>
        <w:t> </w:t>
      </w:r>
    </w:p>
    <w:tbl>
      <w:tblPr>
        <w:tblW w:w="11550" w:type="dxa"/>
        <w:tblCellMar>
          <w:left w:w="0" w:type="dxa"/>
          <w:right w:w="0" w:type="dxa"/>
        </w:tblCellMar>
        <w:tblLook w:val="04A0" w:firstRow="1" w:lastRow="0" w:firstColumn="1" w:lastColumn="0" w:noHBand="0" w:noVBand="1"/>
      </w:tblPr>
      <w:tblGrid>
        <w:gridCol w:w="5932"/>
        <w:gridCol w:w="5618"/>
      </w:tblGrid>
      <w:tr w:rsidR="003835D1" w:rsidRPr="003835D1" w:rsidTr="003835D1">
        <w:tc>
          <w:tcPr>
            <w:tcW w:w="4548" w:type="dxa"/>
            <w:tcBorders>
              <w:top w:val="nil"/>
              <w:left w:val="nil"/>
              <w:bottom w:val="nil"/>
              <w:right w:val="nil"/>
            </w:tcBorders>
            <w:tcMar>
              <w:top w:w="0" w:type="dxa"/>
              <w:left w:w="108" w:type="dxa"/>
              <w:bottom w:w="0" w:type="dxa"/>
              <w:right w:w="108" w:type="dxa"/>
            </w:tcMa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br/>
            </w:r>
            <w:r w:rsidRPr="003835D1">
              <w:rPr>
                <w:rFonts w:ascii="Arial" w:eastAsia="Times New Roman" w:hAnsi="Arial" w:cs="Arial"/>
                <w:b/>
                <w:bCs/>
                <w:i/>
                <w:iCs/>
                <w:sz w:val="24"/>
                <w:szCs w:val="24"/>
                <w:lang w:val="vi-VN"/>
              </w:rPr>
              <w:t>Nơi nhận:</w:t>
            </w:r>
            <w:r w:rsidRPr="003835D1">
              <w:rPr>
                <w:rFonts w:ascii="Arial" w:eastAsia="Times New Roman" w:hAnsi="Arial" w:cs="Arial"/>
                <w:b/>
                <w:bCs/>
                <w:i/>
                <w:iCs/>
                <w:sz w:val="24"/>
                <w:szCs w:val="24"/>
                <w:lang w:val="vi-VN"/>
              </w:rPr>
              <w:br/>
            </w:r>
            <w:r w:rsidRPr="003835D1">
              <w:rPr>
                <w:rFonts w:ascii="Arial" w:eastAsia="Times New Roman" w:hAnsi="Arial" w:cs="Arial"/>
                <w:sz w:val="16"/>
                <w:szCs w:val="16"/>
                <w:lang w:val="vi-VN"/>
              </w:rPr>
              <w:t>– Thủ tướng, các Phó Thủ tướng Chính phủ;</w:t>
            </w:r>
            <w:r w:rsidRPr="003835D1">
              <w:rPr>
                <w:rFonts w:ascii="Arial" w:eastAsia="Times New Roman" w:hAnsi="Arial" w:cs="Arial"/>
                <w:sz w:val="16"/>
                <w:szCs w:val="16"/>
                <w:lang w:val="vi-VN"/>
              </w:rPr>
              <w:br/>
              <w:t>– Các Bộ: Giao thông vận tải, Tài nguyên và Môi trường, Tài chính, Nông nghiệp và Phát triển nông thôn, Kế hoạch và Đầu tư, Công Thương, Quốc phòng, Công an, Xây dựng;</w:t>
            </w:r>
            <w:r w:rsidRPr="003835D1">
              <w:rPr>
                <w:rFonts w:ascii="Arial" w:eastAsia="Times New Roman" w:hAnsi="Arial" w:cs="Arial"/>
                <w:sz w:val="16"/>
                <w:szCs w:val="16"/>
                <w:lang w:val="vi-VN"/>
              </w:rPr>
              <w:br/>
              <w:t>– HĐND, UBND các tỉnh, thành phố trực thuộc trung ương;</w:t>
            </w:r>
            <w:r w:rsidRPr="003835D1">
              <w:rPr>
                <w:rFonts w:ascii="Arial" w:eastAsia="Times New Roman" w:hAnsi="Arial" w:cs="Arial"/>
                <w:sz w:val="16"/>
                <w:szCs w:val="16"/>
                <w:lang w:val="vi-VN"/>
              </w:rPr>
              <w:br/>
              <w:t>– Cục Hàng hải Việt Nam;</w:t>
            </w:r>
            <w:r w:rsidRPr="003835D1">
              <w:rPr>
                <w:rFonts w:ascii="Arial" w:eastAsia="Times New Roman" w:hAnsi="Arial" w:cs="Arial"/>
                <w:sz w:val="16"/>
                <w:szCs w:val="16"/>
                <w:lang w:val="vi-VN"/>
              </w:rPr>
              <w:br/>
              <w:t>– VPCP: BTCN, c</w:t>
            </w:r>
            <w:r w:rsidRPr="003835D1">
              <w:rPr>
                <w:rFonts w:ascii="Arial" w:eastAsia="Times New Roman" w:hAnsi="Arial" w:cs="Arial"/>
                <w:sz w:val="16"/>
                <w:szCs w:val="16"/>
              </w:rPr>
              <w:t>á</w:t>
            </w:r>
            <w:r w:rsidRPr="003835D1">
              <w:rPr>
                <w:rFonts w:ascii="Arial" w:eastAsia="Times New Roman" w:hAnsi="Arial" w:cs="Arial"/>
                <w:sz w:val="16"/>
                <w:szCs w:val="16"/>
                <w:lang w:val="vi-VN"/>
              </w:rPr>
              <w:t>c PCN, Trợ lý TTg, TGĐ Cổng TTĐT, các Vụ: KTTH, KGVX, NC, NN, PL, QHĐP, TKBT;</w:t>
            </w:r>
            <w:r w:rsidRPr="003835D1">
              <w:rPr>
                <w:rFonts w:ascii="Arial" w:eastAsia="Times New Roman" w:hAnsi="Arial" w:cs="Arial"/>
                <w:sz w:val="16"/>
                <w:szCs w:val="16"/>
                <w:lang w:val="vi-VN"/>
              </w:rPr>
              <w:br/>
              <w:t>– Lưu: Văn thư, CN (2b) </w:t>
            </w:r>
            <w:r w:rsidRPr="003835D1">
              <w:rPr>
                <w:rFonts w:ascii="Arial" w:eastAsia="Times New Roman" w:hAnsi="Arial" w:cs="Arial"/>
                <w:sz w:val="16"/>
                <w:szCs w:val="16"/>
                <w:vertAlign w:val="subscript"/>
                <w:lang w:val="vi-VN"/>
              </w:rPr>
              <w:t>Hi</w:t>
            </w:r>
            <w:r w:rsidRPr="003835D1">
              <w:rPr>
                <w:rFonts w:ascii="Arial" w:eastAsia="Times New Roman" w:hAnsi="Arial" w:cs="Arial"/>
                <w:sz w:val="16"/>
                <w:szCs w:val="16"/>
                <w:vertAlign w:val="subscript"/>
              </w:rPr>
              <w:t>ề</w:t>
            </w:r>
            <w:r w:rsidRPr="003835D1">
              <w:rPr>
                <w:rFonts w:ascii="Arial" w:eastAsia="Times New Roman" w:hAnsi="Arial" w:cs="Arial"/>
                <w:sz w:val="16"/>
                <w:szCs w:val="16"/>
                <w:vertAlign w:val="subscript"/>
                <w:lang w:val="vi-VN"/>
              </w:rPr>
              <w:t>n</w:t>
            </w:r>
          </w:p>
        </w:tc>
        <w:tc>
          <w:tcPr>
            <w:tcW w:w="4308" w:type="dxa"/>
            <w:tcBorders>
              <w:top w:val="nil"/>
              <w:left w:val="nil"/>
              <w:bottom w:val="nil"/>
              <w:right w:val="nil"/>
            </w:tcBorders>
            <w:tcMar>
              <w:top w:w="0" w:type="dxa"/>
              <w:left w:w="108" w:type="dxa"/>
              <w:bottom w:w="0" w:type="dxa"/>
              <w:right w:w="108" w:type="dxa"/>
            </w:tcMa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KT. THỦ TƯỚNG</w:t>
            </w:r>
            <w:r w:rsidRPr="003835D1">
              <w:rPr>
                <w:rFonts w:ascii="Arial" w:eastAsia="Times New Roman" w:hAnsi="Arial" w:cs="Arial"/>
                <w:b/>
                <w:bCs/>
                <w:sz w:val="24"/>
                <w:szCs w:val="24"/>
              </w:rPr>
              <w:br/>
              <w:t>PHÓ THỦ TƯỚNG</w:t>
            </w:r>
          </w:p>
          <w:p w:rsidR="003835D1" w:rsidRPr="003835D1" w:rsidRDefault="003835D1" w:rsidP="003835D1">
            <w:pPr>
              <w:spacing w:before="100" w:beforeAutospacing="1" w:after="100" w:afterAutospacing="1" w:line="240" w:lineRule="auto"/>
              <w:ind w:firstLine="0"/>
              <w:rPr>
                <w:rFonts w:ascii="Arial" w:eastAsia="Times New Roman" w:hAnsi="Arial" w:cs="Arial"/>
                <w:sz w:val="24"/>
                <w:szCs w:val="24"/>
              </w:rPr>
            </w:pPr>
            <w:r>
              <w:rPr>
                <w:rFonts w:ascii="Arial" w:eastAsia="Times New Roman" w:hAnsi="Arial" w:cs="Arial"/>
                <w:b/>
                <w:bCs/>
                <w:sz w:val="24"/>
                <w:szCs w:val="24"/>
              </w:rPr>
              <w:t xml:space="preserve">                           </w:t>
            </w:r>
            <w:r w:rsidRPr="003835D1">
              <w:rPr>
                <w:rFonts w:ascii="Arial" w:eastAsia="Times New Roman" w:hAnsi="Arial" w:cs="Arial"/>
                <w:b/>
                <w:bCs/>
                <w:sz w:val="24"/>
                <w:szCs w:val="24"/>
              </w:rPr>
              <w:t>Trịnh Đình Dũng</w:t>
            </w:r>
          </w:p>
        </w:tc>
      </w:tr>
    </w:tbl>
    <w:p w:rsidR="003835D1" w:rsidRPr="003835D1" w:rsidRDefault="003835D1" w:rsidP="003835D1">
      <w:pPr>
        <w:spacing w:after="360" w:line="240" w:lineRule="auto"/>
        <w:ind w:firstLine="0"/>
        <w:rPr>
          <w:rFonts w:ascii="Arial" w:eastAsia="Times New Roman" w:hAnsi="Arial" w:cs="Arial"/>
          <w:color w:val="000000"/>
          <w:sz w:val="27"/>
          <w:szCs w:val="27"/>
        </w:rPr>
      </w:pPr>
      <w:r w:rsidRPr="003835D1">
        <w:rPr>
          <w:rFonts w:ascii="Arial" w:eastAsia="Times New Roman" w:hAnsi="Arial" w:cs="Arial"/>
          <w:color w:val="000000"/>
          <w:sz w:val="27"/>
          <w:szCs w:val="27"/>
        </w:rPr>
        <w:t> </w:t>
      </w:r>
    </w:p>
    <w:p w:rsidR="003835D1" w:rsidRPr="003835D1" w:rsidRDefault="003835D1" w:rsidP="003835D1">
      <w:pPr>
        <w:spacing w:after="360"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4"/>
          <w:szCs w:val="24"/>
          <w:lang w:val="vi-VN"/>
        </w:rPr>
        <w:t>PHỤ LỤC</w:t>
      </w:r>
    </w:p>
    <w:p w:rsidR="003835D1" w:rsidRPr="003835D1" w:rsidRDefault="003835D1" w:rsidP="003835D1">
      <w:pPr>
        <w:spacing w:after="360" w:line="240" w:lineRule="auto"/>
        <w:ind w:firstLine="0"/>
        <w:jc w:val="center"/>
        <w:rPr>
          <w:rFonts w:ascii="Arial" w:eastAsia="Times New Roman" w:hAnsi="Arial" w:cs="Arial"/>
          <w:color w:val="000000"/>
          <w:sz w:val="27"/>
          <w:szCs w:val="27"/>
        </w:rPr>
      </w:pPr>
      <w:r w:rsidRPr="003835D1">
        <w:rPr>
          <w:rFonts w:ascii="Arial" w:eastAsia="Times New Roman" w:hAnsi="Arial" w:cs="Arial"/>
          <w:color w:val="000000"/>
          <w:sz w:val="27"/>
          <w:szCs w:val="27"/>
        </w:rPr>
        <w:t>TỔNG HỢP QUY HOẠCH TỔNG THỂ PHÁT TRIỂN HỆ THỐNG CẢNG CẠN VIỆT NAM GIAI ĐOẠN ĐẾN NĂM 2020, ĐỊNH HƯỚNG ĐẾN NĂM 2030</w:t>
      </w:r>
      <w:r w:rsidRPr="003835D1">
        <w:rPr>
          <w:rFonts w:ascii="Arial" w:eastAsia="Times New Roman" w:hAnsi="Arial" w:cs="Arial"/>
          <w:color w:val="000000"/>
          <w:sz w:val="27"/>
          <w:szCs w:val="27"/>
        </w:rPr>
        <w:br/>
      </w:r>
      <w:r w:rsidRPr="003835D1">
        <w:rPr>
          <w:rFonts w:ascii="Arial" w:eastAsia="Times New Roman" w:hAnsi="Arial" w:cs="Arial"/>
          <w:i/>
          <w:iCs/>
          <w:color w:val="000000"/>
          <w:sz w:val="27"/>
          <w:szCs w:val="27"/>
        </w:rPr>
        <w:t>(Ban hành kèm theo Q</w:t>
      </w:r>
      <w:r w:rsidRPr="003835D1">
        <w:rPr>
          <w:rFonts w:ascii="Arial" w:eastAsia="Times New Roman" w:hAnsi="Arial" w:cs="Arial"/>
          <w:i/>
          <w:iCs/>
          <w:color w:val="000000"/>
          <w:sz w:val="27"/>
          <w:szCs w:val="27"/>
          <w:lang w:val="vi-VN"/>
        </w:rPr>
        <w:t>uyết định số: </w:t>
      </w:r>
      <w:r w:rsidRPr="003835D1">
        <w:rPr>
          <w:rFonts w:ascii="Arial" w:eastAsia="Times New Roman" w:hAnsi="Arial" w:cs="Arial"/>
          <w:i/>
          <w:iCs/>
          <w:color w:val="000000"/>
          <w:sz w:val="27"/>
          <w:szCs w:val="27"/>
        </w:rPr>
        <w:t>2072</w:t>
      </w:r>
      <w:r w:rsidRPr="003835D1">
        <w:rPr>
          <w:rFonts w:ascii="Arial" w:eastAsia="Times New Roman" w:hAnsi="Arial" w:cs="Arial"/>
          <w:i/>
          <w:iCs/>
          <w:color w:val="000000"/>
          <w:sz w:val="27"/>
          <w:szCs w:val="27"/>
          <w:lang w:val="vi-VN"/>
        </w:rPr>
        <w:t>/QĐ-TTg ngày </w:t>
      </w:r>
      <w:r w:rsidRPr="003835D1">
        <w:rPr>
          <w:rFonts w:ascii="Arial" w:eastAsia="Times New Roman" w:hAnsi="Arial" w:cs="Arial"/>
          <w:i/>
          <w:iCs/>
          <w:color w:val="000000"/>
          <w:sz w:val="27"/>
          <w:szCs w:val="27"/>
        </w:rPr>
        <w:t>22</w:t>
      </w:r>
      <w:r w:rsidRPr="003835D1">
        <w:rPr>
          <w:rFonts w:ascii="Arial" w:eastAsia="Times New Roman" w:hAnsi="Arial" w:cs="Arial"/>
          <w:i/>
          <w:iCs/>
          <w:color w:val="000000"/>
          <w:sz w:val="27"/>
          <w:szCs w:val="27"/>
          <w:lang w:val="vi-VN"/>
        </w:rPr>
        <w:t> th</w:t>
      </w:r>
      <w:r w:rsidRPr="003835D1">
        <w:rPr>
          <w:rFonts w:ascii="Arial" w:eastAsia="Times New Roman" w:hAnsi="Arial" w:cs="Arial"/>
          <w:i/>
          <w:iCs/>
          <w:color w:val="000000"/>
          <w:sz w:val="27"/>
          <w:szCs w:val="27"/>
        </w:rPr>
        <w:t>á</w:t>
      </w:r>
      <w:r w:rsidRPr="003835D1">
        <w:rPr>
          <w:rFonts w:ascii="Arial" w:eastAsia="Times New Roman" w:hAnsi="Arial" w:cs="Arial"/>
          <w:i/>
          <w:iCs/>
          <w:color w:val="000000"/>
          <w:sz w:val="27"/>
          <w:szCs w:val="27"/>
          <w:lang w:val="vi-VN"/>
        </w:rPr>
        <w:t>ng 12 năm 2017 của Thủ tướng Chính phủ)</w:t>
      </w:r>
    </w:p>
    <w:tbl>
      <w:tblPr>
        <w:tblW w:w="5000" w:type="pct"/>
        <w:tblCellMar>
          <w:left w:w="0" w:type="dxa"/>
          <w:right w:w="0" w:type="dxa"/>
        </w:tblCellMar>
        <w:tblLook w:val="04A0" w:firstRow="1" w:lastRow="0" w:firstColumn="1" w:lastColumn="0" w:noHBand="0" w:noVBand="1"/>
      </w:tblPr>
      <w:tblGrid>
        <w:gridCol w:w="314"/>
        <w:gridCol w:w="2815"/>
        <w:gridCol w:w="1134"/>
        <w:gridCol w:w="1248"/>
        <w:gridCol w:w="795"/>
        <w:gridCol w:w="890"/>
        <w:gridCol w:w="2144"/>
      </w:tblGrid>
      <w:tr w:rsidR="003835D1" w:rsidRPr="003835D1" w:rsidTr="003835D1">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TT</w:t>
            </w:r>
          </w:p>
        </w:tc>
        <w:tc>
          <w:tcPr>
            <w:tcW w:w="1500" w:type="pct"/>
            <w:vMerge w:val="restart"/>
            <w:tcBorders>
              <w:top w:val="single" w:sz="8" w:space="0" w:color="auto"/>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Vị trí cảng c</w:t>
            </w:r>
            <w:r w:rsidRPr="003835D1">
              <w:rPr>
                <w:rFonts w:ascii="Arial" w:eastAsia="Times New Roman" w:hAnsi="Arial" w:cs="Arial"/>
                <w:b/>
                <w:bCs/>
                <w:sz w:val="24"/>
                <w:szCs w:val="24"/>
              </w:rPr>
              <w:t>ạ</w:t>
            </w:r>
            <w:r w:rsidRPr="003835D1">
              <w:rPr>
                <w:rFonts w:ascii="Arial" w:eastAsia="Times New Roman" w:hAnsi="Arial" w:cs="Arial"/>
                <w:b/>
                <w:bCs/>
                <w:sz w:val="24"/>
                <w:szCs w:val="24"/>
                <w:lang w:val="vi-VN"/>
              </w:rPr>
              <w:t>n d</w:t>
            </w:r>
            <w:r w:rsidRPr="003835D1">
              <w:rPr>
                <w:rFonts w:ascii="Arial" w:eastAsia="Times New Roman" w:hAnsi="Arial" w:cs="Arial"/>
                <w:b/>
                <w:bCs/>
                <w:sz w:val="24"/>
                <w:szCs w:val="24"/>
              </w:rPr>
              <w:t>ự </w:t>
            </w:r>
            <w:r w:rsidRPr="003835D1">
              <w:rPr>
                <w:rFonts w:ascii="Arial" w:eastAsia="Times New Roman" w:hAnsi="Arial" w:cs="Arial"/>
                <w:b/>
                <w:bCs/>
                <w:sz w:val="24"/>
                <w:szCs w:val="24"/>
                <w:lang w:val="vi-VN"/>
              </w:rPr>
              <w:t>kiến</w:t>
            </w:r>
          </w:p>
        </w:tc>
        <w:tc>
          <w:tcPr>
            <w:tcW w:w="1050" w:type="pct"/>
            <w:gridSpan w:val="2"/>
            <w:tcBorders>
              <w:top w:val="single" w:sz="8" w:space="0" w:color="auto"/>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Năng lự</w:t>
            </w:r>
            <w:r w:rsidRPr="003835D1">
              <w:rPr>
                <w:rFonts w:ascii="Arial" w:eastAsia="Times New Roman" w:hAnsi="Arial" w:cs="Arial"/>
                <w:b/>
                <w:bCs/>
                <w:sz w:val="24"/>
                <w:szCs w:val="24"/>
              </w:rPr>
              <w:t>c thông qua</w:t>
            </w:r>
            <w:r w:rsidRPr="003835D1">
              <w:rPr>
                <w:rFonts w:ascii="Arial" w:eastAsia="Times New Roman" w:hAnsi="Arial" w:cs="Arial"/>
                <w:b/>
                <w:bCs/>
                <w:sz w:val="24"/>
                <w:szCs w:val="24"/>
                <w:lang w:val="vi-VN"/>
              </w:rPr>
              <w:t> (1.000</w:t>
            </w:r>
            <w:r w:rsidRPr="003835D1">
              <w:rPr>
                <w:rFonts w:ascii="Arial" w:eastAsia="Times New Roman" w:hAnsi="Arial" w:cs="Arial"/>
                <w:b/>
                <w:bCs/>
                <w:sz w:val="24"/>
                <w:szCs w:val="24"/>
              </w:rPr>
              <w:t> TEU/năm)</w:t>
            </w:r>
          </w:p>
        </w:tc>
        <w:tc>
          <w:tcPr>
            <w:tcW w:w="950" w:type="pct"/>
            <w:gridSpan w:val="2"/>
            <w:tcBorders>
              <w:top w:val="single" w:sz="8" w:space="0" w:color="auto"/>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Quy mô (ha)</w:t>
            </w:r>
          </w:p>
        </w:tc>
        <w:tc>
          <w:tcPr>
            <w:tcW w:w="1150" w:type="pct"/>
            <w:vMerge w:val="restart"/>
            <w:tcBorders>
              <w:top w:val="single" w:sz="8" w:space="0" w:color="auto"/>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Cảng biển</w:t>
            </w:r>
          </w:p>
        </w:tc>
      </w:tr>
      <w:tr w:rsidR="003835D1" w:rsidRPr="003835D1" w:rsidTr="003835D1">
        <w:tc>
          <w:tcPr>
            <w:tcW w:w="0" w:type="auto"/>
            <w:vMerge/>
            <w:tcBorders>
              <w:top w:val="single" w:sz="8" w:space="0" w:color="auto"/>
              <w:left w:val="single" w:sz="8" w:space="0" w:color="auto"/>
              <w:bottom w:val="single" w:sz="8" w:space="0" w:color="auto"/>
              <w:right w:val="single" w:sz="8" w:space="0" w:color="auto"/>
            </w:tcBorders>
            <w:vAlign w:val="center"/>
            <w:hideMark/>
          </w:tcPr>
          <w:p w:rsidR="003835D1" w:rsidRPr="003835D1" w:rsidRDefault="003835D1" w:rsidP="003835D1">
            <w:pPr>
              <w:spacing w:before="0" w:after="0" w:line="240" w:lineRule="auto"/>
              <w:ind w:firstLine="0"/>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835D1" w:rsidRPr="003835D1" w:rsidRDefault="003835D1" w:rsidP="003835D1">
            <w:pPr>
              <w:spacing w:before="0" w:after="0" w:line="240" w:lineRule="auto"/>
              <w:ind w:firstLine="0"/>
              <w:rPr>
                <w:rFonts w:ascii="Arial" w:eastAsia="Times New Roman" w:hAnsi="Arial" w:cs="Arial"/>
                <w:sz w:val="24"/>
                <w:szCs w:val="24"/>
              </w:rPr>
            </w:pP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2020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2030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2020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2030</w:t>
            </w:r>
          </w:p>
        </w:tc>
        <w:tc>
          <w:tcPr>
            <w:tcW w:w="0" w:type="auto"/>
            <w:vMerge/>
            <w:tcBorders>
              <w:top w:val="single" w:sz="8" w:space="0" w:color="auto"/>
              <w:left w:val="nil"/>
              <w:bottom w:val="single" w:sz="8" w:space="0" w:color="auto"/>
              <w:right w:val="single" w:sz="8" w:space="0" w:color="auto"/>
            </w:tcBorders>
            <w:vAlign w:val="center"/>
            <w:hideMark/>
          </w:tcPr>
          <w:p w:rsidR="003835D1" w:rsidRPr="003835D1" w:rsidRDefault="003835D1" w:rsidP="003835D1">
            <w:pPr>
              <w:spacing w:before="0" w:after="0" w:line="240" w:lineRule="auto"/>
              <w:ind w:firstLine="0"/>
              <w:rPr>
                <w:rFonts w:ascii="Arial" w:eastAsia="Times New Roman" w:hAnsi="Arial" w:cs="Arial"/>
                <w:sz w:val="24"/>
                <w:szCs w:val="24"/>
              </w:rPr>
            </w:pP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I</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b/>
                <w:bCs/>
                <w:sz w:val="24"/>
                <w:szCs w:val="24"/>
                <w:lang w:val="vi-VN"/>
              </w:rPr>
              <w:t>Miền Bắc</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720 -1.810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2.750 – 4.820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225-290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390 – 470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 </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tế ven biển.</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80 – 200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500 – 850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50 – 70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80 – 100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Hải Phòng, Quảng Ninh.</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Hà Nội – Lạng Sơn.</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100 – 270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400 – 720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30 – 40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60 – 70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Hải Phòng, Quảng Ninh</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Hà Nội – Lào Cai.</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120 – 300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500 – 830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30 – 40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60 – 70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Hải Phòng, Quảng Ninh.</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4</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tế Tây Bắc Hà Nội.</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50 – 100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180 – 300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15 – 20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Hải Phòng, Quảng Ninh.</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w:t>
            </w:r>
            <w:r w:rsidRPr="003835D1">
              <w:rPr>
                <w:rFonts w:ascii="Arial" w:eastAsia="Times New Roman" w:hAnsi="Arial" w:cs="Arial"/>
                <w:sz w:val="24"/>
                <w:szCs w:val="24"/>
              </w:rPr>
              <w:t>ế</w:t>
            </w:r>
            <w:r w:rsidRPr="003835D1">
              <w:rPr>
                <w:rFonts w:ascii="Arial" w:eastAsia="Times New Roman" w:hAnsi="Arial" w:cs="Arial"/>
                <w:sz w:val="24"/>
                <w:szCs w:val="24"/>
                <w:lang w:val="vi-VN"/>
              </w:rPr>
              <w:t> Đông Nam Hà Nội.</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350 – 900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1.100 – 2.000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80 – 90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120 – 150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Hải Phòng, Quảng Ninh.</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6</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Hà Nội – Thái Nguyên – Cao Bằng.</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20 – 40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70 – 120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20 – 30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40 – 50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Hải Phòng, Quảng Ninh.</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lastRenderedPageBreak/>
              <w:t>II</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b/>
                <w:bCs/>
                <w:sz w:val="24"/>
                <w:szCs w:val="24"/>
                <w:lang w:val="vi-VN"/>
              </w:rPr>
              <w:t>Miền Trung-Tây Nguyên</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65 – 175</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350 – 630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40 – 60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115 -125</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 </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Đường 9.</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 – 10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15 – 30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5 – 10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Hòn La, Chân Mây.</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tế Đà N</w:t>
            </w:r>
            <w:r w:rsidRPr="003835D1">
              <w:rPr>
                <w:rFonts w:ascii="Arial" w:eastAsia="Times New Roman" w:hAnsi="Arial" w:cs="Arial"/>
                <w:sz w:val="24"/>
                <w:szCs w:val="24"/>
              </w:rPr>
              <w:t>ẵ</w:t>
            </w:r>
            <w:r w:rsidRPr="003835D1">
              <w:rPr>
                <w:rFonts w:ascii="Arial" w:eastAsia="Times New Roman" w:hAnsi="Arial" w:cs="Arial"/>
                <w:sz w:val="24"/>
                <w:szCs w:val="24"/>
                <w:lang w:val="vi-VN"/>
              </w:rPr>
              <w:t>ng – Huế, hành lang Đường 14B.</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30 – 90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120 – 230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5 – 10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15 – 20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Đà N</w:t>
            </w:r>
            <w:r w:rsidRPr="003835D1">
              <w:rPr>
                <w:rFonts w:ascii="Arial" w:eastAsia="Times New Roman" w:hAnsi="Arial" w:cs="Arial"/>
                <w:sz w:val="24"/>
                <w:szCs w:val="24"/>
              </w:rPr>
              <w:t>ẵ</w:t>
            </w:r>
            <w:r w:rsidRPr="003835D1">
              <w:rPr>
                <w:rFonts w:ascii="Arial" w:eastAsia="Times New Roman" w:hAnsi="Arial" w:cs="Arial"/>
                <w:sz w:val="24"/>
                <w:szCs w:val="24"/>
                <w:lang w:val="vi-VN"/>
              </w:rPr>
              <w:t>ng, Kỳ Hà, Chân M</w:t>
            </w:r>
            <w:r w:rsidRPr="003835D1">
              <w:rPr>
                <w:rFonts w:ascii="Arial" w:eastAsia="Times New Roman" w:hAnsi="Arial" w:cs="Arial"/>
                <w:sz w:val="24"/>
                <w:szCs w:val="24"/>
              </w:rPr>
              <w:t>â</w:t>
            </w:r>
            <w:r w:rsidRPr="003835D1">
              <w:rPr>
                <w:rFonts w:ascii="Arial" w:eastAsia="Times New Roman" w:hAnsi="Arial" w:cs="Arial"/>
                <w:sz w:val="24"/>
                <w:szCs w:val="24"/>
                <w:lang w:val="vi-VN"/>
              </w:rPr>
              <w:t>y.</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Đường 19.</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20 – 60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75 – 140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15 – 20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Quy Nhơn, Dung Quất, Ba Ngòi.</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4</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Tây Nguyên: Đường 29, Đường 19.</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10 – 15</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35 – 50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15 – 20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Quy Nhơn, Dung Quất, Ba Ngòi.</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Nghi Sơn.</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 </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85 – 150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 </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Nghi Sơn.</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6</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Hành lang kinh tế Đường 8, Đường 12A.</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 </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20 – 30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 </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10 – 15</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Vũng Áng, Cửa Lò, Hòn La.</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III</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b/>
                <w:bCs/>
                <w:sz w:val="24"/>
                <w:szCs w:val="24"/>
                <w:lang w:val="vi-VN"/>
              </w:rPr>
              <w:t>Miền Nam</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3.250 – 4.860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rPr>
              <w:t>8.900 – 12.150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315 – 405</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540 – 700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b/>
                <w:bCs/>
                <w:sz w:val="24"/>
                <w:szCs w:val="24"/>
                <w:lang w:val="vi-VN"/>
              </w:rPr>
              <w:t> </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1</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tế Đông Bắc Thành phố Hồ Chí Minh.</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2.700 – 4.000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7.300 – 10.000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260 – 320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425 – 550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Thành phố Hồ Chí Minh, B</w:t>
            </w:r>
            <w:r w:rsidRPr="003835D1">
              <w:rPr>
                <w:rFonts w:ascii="Arial" w:eastAsia="Times New Roman" w:hAnsi="Arial" w:cs="Arial"/>
                <w:sz w:val="24"/>
                <w:szCs w:val="24"/>
              </w:rPr>
              <w:t>à </w:t>
            </w:r>
            <w:r w:rsidRPr="003835D1">
              <w:rPr>
                <w:rFonts w:ascii="Arial" w:eastAsia="Times New Roman" w:hAnsi="Arial" w:cs="Arial"/>
                <w:sz w:val="24"/>
                <w:szCs w:val="24"/>
                <w:lang w:val="vi-VN"/>
              </w:rPr>
              <w:t>Rịa – Vũng Tàu.</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tế Tây Nam Thành phố Hồ Chí Minh.</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450 – 700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1.300 – 1.700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35 – 55</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65 – 80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Thành phố Hồ Chí Minh, Bà Rịa – Vũng Tàu.</w:t>
            </w:r>
          </w:p>
        </w:tc>
      </w:tr>
      <w:tr w:rsidR="003835D1" w:rsidRPr="003835D1" w:rsidTr="003835D1">
        <w:tc>
          <w:tcPr>
            <w:tcW w:w="200" w:type="pct"/>
            <w:tcBorders>
              <w:top w:val="nil"/>
              <w:left w:val="single" w:sz="8" w:space="0" w:color="auto"/>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3</w:t>
            </w:r>
          </w:p>
        </w:tc>
        <w:tc>
          <w:tcPr>
            <w:tcW w:w="1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rPr>
                <w:rFonts w:ascii="Arial" w:eastAsia="Times New Roman" w:hAnsi="Arial" w:cs="Arial"/>
                <w:sz w:val="24"/>
                <w:szCs w:val="24"/>
              </w:rPr>
            </w:pPr>
            <w:r w:rsidRPr="003835D1">
              <w:rPr>
                <w:rFonts w:ascii="Arial" w:eastAsia="Times New Roman" w:hAnsi="Arial" w:cs="Arial"/>
                <w:sz w:val="24"/>
                <w:szCs w:val="24"/>
                <w:lang w:val="vi-VN"/>
              </w:rPr>
              <w:t>Khu vực kinh tế đồng bằng sông Cửu Long.</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100 – 160</w:t>
            </w:r>
          </w:p>
        </w:tc>
        <w:tc>
          <w:tcPr>
            <w:tcW w:w="5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rPr>
              <w:t>300 – 450</w:t>
            </w:r>
          </w:p>
        </w:tc>
        <w:tc>
          <w:tcPr>
            <w:tcW w:w="4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20 – 30</w:t>
            </w:r>
          </w:p>
        </w:tc>
        <w:tc>
          <w:tcPr>
            <w:tcW w:w="50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50 – 70</w:t>
            </w:r>
          </w:p>
        </w:tc>
        <w:tc>
          <w:tcPr>
            <w:tcW w:w="1150" w:type="pct"/>
            <w:tcBorders>
              <w:top w:val="nil"/>
              <w:left w:val="nil"/>
              <w:bottom w:val="single" w:sz="8" w:space="0" w:color="auto"/>
              <w:right w:val="single" w:sz="8" w:space="0" w:color="auto"/>
            </w:tcBorders>
            <w:vAlign w:val="center"/>
            <w:hideMark/>
          </w:tcPr>
          <w:p w:rsidR="003835D1" w:rsidRPr="003835D1" w:rsidRDefault="003835D1" w:rsidP="003835D1">
            <w:pPr>
              <w:spacing w:after="100" w:afterAutospacing="1" w:line="240" w:lineRule="auto"/>
              <w:ind w:firstLine="0"/>
              <w:jc w:val="center"/>
              <w:rPr>
                <w:rFonts w:ascii="Arial" w:eastAsia="Times New Roman" w:hAnsi="Arial" w:cs="Arial"/>
                <w:sz w:val="24"/>
                <w:szCs w:val="24"/>
              </w:rPr>
            </w:pPr>
            <w:r w:rsidRPr="003835D1">
              <w:rPr>
                <w:rFonts w:ascii="Arial" w:eastAsia="Times New Roman" w:hAnsi="Arial" w:cs="Arial"/>
                <w:sz w:val="24"/>
                <w:szCs w:val="24"/>
                <w:lang w:val="vi-VN"/>
              </w:rPr>
              <w:t>Thành phố Hồ Chí Minh, Bà Rịa – Vũng Tàu, Cần Thơ.</w:t>
            </w:r>
          </w:p>
        </w:tc>
      </w:tr>
      <w:tr w:rsidR="003835D1" w:rsidRPr="003835D1" w:rsidTr="003835D1">
        <w:tc>
          <w:tcPr>
            <w:tcW w:w="200" w:type="pct"/>
            <w:tcBorders>
              <w:top w:val="nil"/>
              <w:left w:val="single" w:sz="8" w:space="0" w:color="auto"/>
              <w:bottom w:val="single" w:sz="8" w:space="0" w:color="auto"/>
              <w:right w:val="single" w:sz="8" w:space="0" w:color="auto"/>
            </w:tcBorders>
            <w:shd w:val="clear" w:color="auto" w:fill="FFFFFF"/>
            <w:vAlign w:val="center"/>
            <w:hideMark/>
          </w:tcPr>
          <w:p w:rsidR="003835D1" w:rsidRPr="003835D1" w:rsidRDefault="003835D1" w:rsidP="003835D1">
            <w:pPr>
              <w:spacing w:after="100" w:afterAutospacing="1"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3835D1" w:rsidRPr="003835D1" w:rsidRDefault="003835D1" w:rsidP="003835D1">
            <w:pPr>
              <w:spacing w:after="100" w:afterAutospacing="1"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Cả nước</w:t>
            </w:r>
          </w:p>
        </w:tc>
        <w:tc>
          <w:tcPr>
            <w:tcW w:w="500" w:type="pct"/>
            <w:tcBorders>
              <w:top w:val="nil"/>
              <w:left w:val="nil"/>
              <w:bottom w:val="single" w:sz="8" w:space="0" w:color="auto"/>
              <w:right w:val="single" w:sz="8" w:space="0" w:color="auto"/>
            </w:tcBorders>
            <w:shd w:val="clear" w:color="auto" w:fill="FFFFFF"/>
            <w:vAlign w:val="center"/>
            <w:hideMark/>
          </w:tcPr>
          <w:p w:rsidR="003835D1" w:rsidRPr="003835D1" w:rsidRDefault="003835D1" w:rsidP="003835D1">
            <w:pPr>
              <w:spacing w:after="100" w:afterAutospacing="1"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7"/>
                <w:szCs w:val="27"/>
              </w:rPr>
              <w:t>4.035 – 6.850</w:t>
            </w:r>
          </w:p>
        </w:tc>
        <w:tc>
          <w:tcPr>
            <w:tcW w:w="550" w:type="pct"/>
            <w:tcBorders>
              <w:top w:val="nil"/>
              <w:left w:val="nil"/>
              <w:bottom w:val="single" w:sz="8" w:space="0" w:color="auto"/>
              <w:right w:val="single" w:sz="8" w:space="0" w:color="auto"/>
            </w:tcBorders>
            <w:shd w:val="clear" w:color="auto" w:fill="FFFFFF"/>
            <w:vAlign w:val="center"/>
            <w:hideMark/>
          </w:tcPr>
          <w:p w:rsidR="003835D1" w:rsidRPr="003835D1" w:rsidRDefault="003835D1" w:rsidP="003835D1">
            <w:pPr>
              <w:spacing w:after="100" w:afterAutospacing="1"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7"/>
                <w:szCs w:val="27"/>
              </w:rPr>
              <w:t>12.000 – 17.600</w:t>
            </w:r>
          </w:p>
        </w:tc>
        <w:tc>
          <w:tcPr>
            <w:tcW w:w="450" w:type="pct"/>
            <w:tcBorders>
              <w:top w:val="nil"/>
              <w:left w:val="nil"/>
              <w:bottom w:val="single" w:sz="8" w:space="0" w:color="auto"/>
              <w:right w:val="single" w:sz="8" w:space="0" w:color="auto"/>
            </w:tcBorders>
            <w:shd w:val="clear" w:color="auto" w:fill="FFFFFF"/>
            <w:vAlign w:val="center"/>
            <w:hideMark/>
          </w:tcPr>
          <w:p w:rsidR="003835D1" w:rsidRPr="003835D1" w:rsidRDefault="003835D1" w:rsidP="003835D1">
            <w:pPr>
              <w:spacing w:after="100" w:afterAutospacing="1"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580 – 755</w:t>
            </w:r>
          </w:p>
        </w:tc>
        <w:tc>
          <w:tcPr>
            <w:tcW w:w="500" w:type="pct"/>
            <w:tcBorders>
              <w:top w:val="nil"/>
              <w:left w:val="nil"/>
              <w:bottom w:val="single" w:sz="8" w:space="0" w:color="auto"/>
              <w:right w:val="single" w:sz="8" w:space="0" w:color="auto"/>
            </w:tcBorders>
            <w:shd w:val="clear" w:color="auto" w:fill="FFFFFF"/>
            <w:vAlign w:val="center"/>
            <w:hideMark/>
          </w:tcPr>
          <w:p w:rsidR="003835D1" w:rsidRPr="003835D1" w:rsidRDefault="003835D1" w:rsidP="003835D1">
            <w:pPr>
              <w:spacing w:after="100" w:afterAutospacing="1" w:line="240" w:lineRule="auto"/>
              <w:ind w:firstLine="0"/>
              <w:jc w:val="center"/>
              <w:rPr>
                <w:rFonts w:ascii="Arial" w:eastAsia="Times New Roman" w:hAnsi="Arial" w:cs="Arial"/>
                <w:color w:val="000000"/>
                <w:sz w:val="27"/>
                <w:szCs w:val="27"/>
              </w:rPr>
            </w:pPr>
            <w:r w:rsidRPr="003835D1">
              <w:rPr>
                <w:rFonts w:ascii="Arial" w:eastAsia="Times New Roman" w:hAnsi="Arial" w:cs="Arial"/>
                <w:b/>
                <w:bCs/>
                <w:color w:val="000000"/>
                <w:sz w:val="27"/>
                <w:szCs w:val="27"/>
                <w:lang w:val="vi-VN"/>
              </w:rPr>
              <w:t>1.045 -1.295</w:t>
            </w:r>
          </w:p>
        </w:tc>
        <w:tc>
          <w:tcPr>
            <w:tcW w:w="1150" w:type="pct"/>
            <w:tcBorders>
              <w:top w:val="nil"/>
              <w:left w:val="nil"/>
              <w:bottom w:val="single" w:sz="8" w:space="0" w:color="auto"/>
              <w:right w:val="single" w:sz="8" w:space="0" w:color="auto"/>
            </w:tcBorders>
            <w:shd w:val="clear" w:color="auto" w:fill="FFFFFF"/>
            <w:vAlign w:val="center"/>
            <w:hideMark/>
          </w:tcPr>
          <w:p w:rsidR="003835D1" w:rsidRPr="003835D1" w:rsidRDefault="003835D1" w:rsidP="003835D1">
            <w:pPr>
              <w:spacing w:before="0" w:after="0" w:line="240" w:lineRule="auto"/>
              <w:ind w:firstLine="0"/>
              <w:rPr>
                <w:rFonts w:ascii="Arial" w:eastAsia="Times New Roman" w:hAnsi="Arial" w:cs="Arial"/>
                <w:color w:val="000000"/>
                <w:sz w:val="27"/>
                <w:szCs w:val="27"/>
              </w:rPr>
            </w:pPr>
          </w:p>
        </w:tc>
      </w:tr>
    </w:tbl>
    <w:p w:rsidR="007C68DF" w:rsidRDefault="007C68DF"/>
    <w:sectPr w:rsidR="007C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D1"/>
    <w:rsid w:val="00251CD9"/>
    <w:rsid w:val="003835D1"/>
    <w:rsid w:val="007C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A70"/>
  <w15:chartTrackingRefBased/>
  <w15:docId w15:val="{5E7999A7-A4E8-4062-B054-DA34B340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20" w:lineRule="exact"/>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5D1"/>
    <w:pPr>
      <w:spacing w:before="100" w:beforeAutospacing="1" w:after="100" w:afterAutospacing="1" w:line="240" w:lineRule="auto"/>
      <w:ind w:firstLine="0"/>
    </w:pPr>
    <w:rPr>
      <w:rFonts w:eastAsia="Times New Roman" w:cs="Times New Roman"/>
      <w:sz w:val="24"/>
      <w:szCs w:val="24"/>
    </w:rPr>
  </w:style>
  <w:style w:type="character" w:styleId="Strong">
    <w:name w:val="Strong"/>
    <w:basedOn w:val="DefaultParagraphFont"/>
    <w:uiPriority w:val="22"/>
    <w:qFormat/>
    <w:rsid w:val="003835D1"/>
    <w:rPr>
      <w:b/>
      <w:bCs/>
    </w:rPr>
  </w:style>
  <w:style w:type="character" w:styleId="Hyperlink">
    <w:name w:val="Hyperlink"/>
    <w:basedOn w:val="DefaultParagraphFont"/>
    <w:uiPriority w:val="99"/>
    <w:semiHidden/>
    <w:unhideWhenUsed/>
    <w:rsid w:val="00383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6300">
      <w:bodyDiv w:val="1"/>
      <w:marLeft w:val="0"/>
      <w:marRight w:val="0"/>
      <w:marTop w:val="0"/>
      <w:marBottom w:val="0"/>
      <w:divBdr>
        <w:top w:val="none" w:sz="0" w:space="0" w:color="auto"/>
        <w:left w:val="none" w:sz="0" w:space="0" w:color="auto"/>
        <w:bottom w:val="none" w:sz="0" w:space="0" w:color="auto"/>
        <w:right w:val="none" w:sz="0" w:space="0" w:color="auto"/>
      </w:divBdr>
      <w:divsChild>
        <w:div w:id="1989433255">
          <w:marLeft w:val="0"/>
          <w:marRight w:val="0"/>
          <w:marTop w:val="0"/>
          <w:marBottom w:val="300"/>
          <w:divBdr>
            <w:top w:val="single" w:sz="6" w:space="0" w:color="DDDDDD"/>
            <w:left w:val="single" w:sz="6" w:space="0" w:color="DDDDDD"/>
            <w:bottom w:val="single" w:sz="6" w:space="0" w:color="DDDDDD"/>
            <w:right w:val="none" w:sz="0" w:space="0" w:color="auto"/>
          </w:divBdr>
          <w:divsChild>
            <w:div w:id="976253728">
              <w:marLeft w:val="-15"/>
              <w:marRight w:val="0"/>
              <w:marTop w:val="0"/>
              <w:marBottom w:val="0"/>
              <w:divBdr>
                <w:top w:val="single" w:sz="6" w:space="8" w:color="DDDDDD"/>
                <w:left w:val="single" w:sz="6" w:space="11" w:color="DDDDDD"/>
                <w:bottom w:val="none" w:sz="0" w:space="8" w:color="auto"/>
                <w:right w:val="single" w:sz="6" w:space="11" w:color="DDDDDD"/>
              </w:divBdr>
            </w:div>
            <w:div w:id="1340304149">
              <w:marLeft w:val="-15"/>
              <w:marRight w:val="0"/>
              <w:marTop w:val="0"/>
              <w:marBottom w:val="0"/>
              <w:divBdr>
                <w:top w:val="single" w:sz="6" w:space="8" w:color="DDDDDD"/>
                <w:left w:val="single" w:sz="6" w:space="11" w:color="DDDDDD"/>
                <w:bottom w:val="none" w:sz="0" w:space="8" w:color="auto"/>
                <w:right w:val="single" w:sz="6" w:space="11" w:color="DDDDDD"/>
              </w:divBdr>
            </w:div>
            <w:div w:id="445390173">
              <w:marLeft w:val="-15"/>
              <w:marRight w:val="0"/>
              <w:marTop w:val="0"/>
              <w:marBottom w:val="0"/>
              <w:divBdr>
                <w:top w:val="single" w:sz="6" w:space="8" w:color="DDDDDD"/>
                <w:left w:val="single" w:sz="6" w:space="11" w:color="DDDDDD"/>
                <w:bottom w:val="none" w:sz="0" w:space="8" w:color="auto"/>
                <w:right w:val="single" w:sz="6" w:space="11" w:color="DDDDDD"/>
              </w:divBdr>
            </w:div>
            <w:div w:id="159740237">
              <w:marLeft w:val="-15"/>
              <w:marRight w:val="0"/>
              <w:marTop w:val="0"/>
              <w:marBottom w:val="0"/>
              <w:divBdr>
                <w:top w:val="single" w:sz="6" w:space="8" w:color="DDDDDD"/>
                <w:left w:val="single" w:sz="6" w:space="11" w:color="DDDDDD"/>
                <w:bottom w:val="none" w:sz="0" w:space="8" w:color="auto"/>
                <w:right w:val="single" w:sz="6" w:space="11" w:color="DDDDDD"/>
              </w:divBdr>
            </w:div>
            <w:div w:id="851991188">
              <w:marLeft w:val="-15"/>
              <w:marRight w:val="0"/>
              <w:marTop w:val="0"/>
              <w:marBottom w:val="0"/>
              <w:divBdr>
                <w:top w:val="single" w:sz="6" w:space="8" w:color="DDDDDD"/>
                <w:left w:val="single" w:sz="6" w:space="11" w:color="DDDDDD"/>
                <w:bottom w:val="none" w:sz="0" w:space="8" w:color="auto"/>
                <w:right w:val="single" w:sz="6" w:space="11" w:color="DDDDDD"/>
              </w:divBdr>
            </w:div>
            <w:div w:id="1961259513">
              <w:marLeft w:val="-15"/>
              <w:marRight w:val="0"/>
              <w:marTop w:val="0"/>
              <w:marBottom w:val="0"/>
              <w:divBdr>
                <w:top w:val="single" w:sz="6" w:space="8" w:color="DDDDDD"/>
                <w:left w:val="single" w:sz="6" w:space="11" w:color="DDDDDD"/>
                <w:bottom w:val="none" w:sz="0" w:space="8" w:color="auto"/>
                <w:right w:val="single" w:sz="6" w:space="11" w:color="DDDDDD"/>
              </w:divBdr>
            </w:div>
          </w:divsChild>
        </w:div>
        <w:div w:id="1808814199">
          <w:marLeft w:val="0"/>
          <w:marRight w:val="0"/>
          <w:marTop w:val="0"/>
          <w:marBottom w:val="0"/>
          <w:divBdr>
            <w:top w:val="none" w:sz="0" w:space="0" w:color="auto"/>
            <w:left w:val="none" w:sz="0" w:space="0" w:color="auto"/>
            <w:bottom w:val="none" w:sz="0" w:space="0" w:color="auto"/>
            <w:right w:val="none" w:sz="0" w:space="0" w:color="auto"/>
          </w:divBdr>
          <w:divsChild>
            <w:div w:id="1486969425">
              <w:marLeft w:val="0"/>
              <w:marRight w:val="0"/>
              <w:marTop w:val="0"/>
              <w:marBottom w:val="0"/>
              <w:divBdr>
                <w:top w:val="none" w:sz="0" w:space="0" w:color="auto"/>
                <w:left w:val="none" w:sz="0" w:space="0" w:color="auto"/>
                <w:bottom w:val="none" w:sz="0" w:space="0" w:color="auto"/>
                <w:right w:val="none" w:sz="0" w:space="0" w:color="auto"/>
              </w:divBdr>
              <w:divsChild>
                <w:div w:id="656227992">
                  <w:marLeft w:val="0"/>
                  <w:marRight w:val="0"/>
                  <w:marTop w:val="0"/>
                  <w:marBottom w:val="0"/>
                  <w:divBdr>
                    <w:top w:val="none" w:sz="0" w:space="0" w:color="auto"/>
                    <w:left w:val="none" w:sz="0" w:space="0" w:color="auto"/>
                    <w:bottom w:val="none" w:sz="0" w:space="0" w:color="auto"/>
                    <w:right w:val="none" w:sz="0" w:space="0" w:color="auto"/>
                  </w:divBdr>
                  <w:divsChild>
                    <w:div w:id="1634629998">
                      <w:marLeft w:val="0"/>
                      <w:marRight w:val="0"/>
                      <w:marTop w:val="0"/>
                      <w:marBottom w:val="0"/>
                      <w:divBdr>
                        <w:top w:val="none" w:sz="0" w:space="0" w:color="auto"/>
                        <w:left w:val="none" w:sz="0" w:space="0" w:color="auto"/>
                        <w:bottom w:val="none" w:sz="0" w:space="0" w:color="auto"/>
                        <w:right w:val="none" w:sz="0" w:space="0" w:color="auto"/>
                      </w:divBdr>
                      <w:divsChild>
                        <w:div w:id="4361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duonggia.vn/bang-phan-loai-du-an-dau-tu-xay-dung-cong-trinh/" TargetMode="External"/><Relationship Id="rId4" Type="http://schemas.openxmlformats.org/officeDocument/2006/relationships/hyperlink" Target="https://luatduonggia.vn/hinh-thuc-cong-bo-cong-khai-quy-hoach-xay-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2021-08-02T03:33:00Z</dcterms:created>
  <dcterms:modified xsi:type="dcterms:W3CDTF">2021-08-02T03:33:00Z</dcterms:modified>
</cp:coreProperties>
</file>